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1E0"/>
      </w:tblPr>
      <w:tblGrid>
        <w:gridCol w:w="5590"/>
        <w:gridCol w:w="9198"/>
      </w:tblGrid>
      <w:tr w:rsidR="004221CA" w:rsidRPr="0048117C" w:rsidTr="00FB47CE">
        <w:tc>
          <w:tcPr>
            <w:tcW w:w="1890" w:type="pct"/>
            <w:shd w:val="clear" w:color="auto" w:fill="auto"/>
          </w:tcPr>
          <w:p w:rsidR="004221CA" w:rsidRPr="0048117C" w:rsidRDefault="00B13884" w:rsidP="0048117C">
            <w:pPr>
              <w:spacing w:before="80" w:line="340" w:lineRule="exact"/>
              <w:jc w:val="center"/>
              <w:rPr>
                <w:rFonts w:ascii="Times New Roman" w:hAnsi="Times New Roman" w:cs="Times New Roman"/>
                <w:b/>
                <w:sz w:val="26"/>
                <w:szCs w:val="26"/>
              </w:rPr>
            </w:pPr>
            <w:r w:rsidRPr="0048117C">
              <w:rPr>
                <w:rFonts w:ascii="Times New Roman" w:hAnsi="Times New Roman" w:cs="Times New Roman"/>
                <w:b/>
                <w:noProof/>
                <w:sz w:val="26"/>
                <w:szCs w:val="26"/>
                <w:lang w:val="en-US" w:eastAsia="en-US"/>
              </w:rPr>
              <w:pict>
                <v:shapetype id="_x0000_t202" coordsize="21600,21600" o:spt="202" path="m,l,21600r21600,l21600,xe">
                  <v:stroke joinstyle="miter"/>
                  <v:path gradientshapeok="t" o:connecttype="rect"/>
                </v:shapetype>
                <v:shape id="_x0000_s1029" type="#_x0000_t202" style="position:absolute;left:0;text-align:left;margin-left:30.3pt;margin-top:41.45pt;width:92.25pt;height:25.5pt;z-index:251661312">
                  <v:textbox>
                    <w:txbxContent>
                      <w:p w:rsidR="00CE0BFF" w:rsidRPr="005B6B37" w:rsidRDefault="00CE0BFF" w:rsidP="005B6B37">
                        <w:pPr>
                          <w:spacing w:before="60"/>
                          <w:jc w:val="center"/>
                          <w:rPr>
                            <w:rFonts w:ascii="Times New Roman" w:hAnsi="Times New Roman" w:cs="Times New Roman"/>
                            <w:b/>
                            <w:sz w:val="26"/>
                            <w:szCs w:val="26"/>
                            <w:lang w:val="en-US"/>
                          </w:rPr>
                        </w:pPr>
                        <w:r w:rsidRPr="005B6B37">
                          <w:rPr>
                            <w:rFonts w:ascii="Times New Roman" w:hAnsi="Times New Roman" w:cs="Times New Roman"/>
                            <w:b/>
                            <w:sz w:val="26"/>
                            <w:szCs w:val="26"/>
                            <w:lang w:val="en-US"/>
                          </w:rPr>
                          <w:t>DỰ THẢO</w:t>
                        </w:r>
                      </w:p>
                    </w:txbxContent>
                  </v:textbox>
                </v:shape>
              </w:pict>
            </w:r>
            <w:r w:rsidRPr="0048117C">
              <w:rPr>
                <w:rFonts w:ascii="Times New Roman" w:hAnsi="Times New Roman" w:cs="Times New Roman"/>
                <w:b/>
                <w:noProof/>
                <w:sz w:val="26"/>
                <w:szCs w:val="26"/>
                <w:lang w:val="en-US" w:eastAsia="en-US"/>
              </w:rPr>
              <w:pict>
                <v:shapetype id="_x0000_t32" coordsize="21600,21600" o:spt="32" o:oned="t" path="m,l21600,21600e" filled="f">
                  <v:path arrowok="t" fillok="f" o:connecttype="none"/>
                  <o:lock v:ext="edit" shapetype="t"/>
                </v:shapetype>
                <v:shape id="_x0000_s1026" type="#_x0000_t32" style="position:absolute;left:0;text-align:left;margin-left:112.95pt;margin-top:22.8pt;width:43.5pt;height:0;z-index:251658240" o:connectortype="straight"/>
              </w:pict>
            </w:r>
            <w:r w:rsidR="000153F4" w:rsidRPr="0048117C">
              <w:rPr>
                <w:rFonts w:ascii="Times New Roman" w:hAnsi="Times New Roman" w:cs="Times New Roman"/>
                <w:b/>
                <w:sz w:val="26"/>
                <w:szCs w:val="26"/>
                <w:lang w:val="en-US"/>
              </w:rPr>
              <w:t>SỞ TÀI CHÍNH</w:t>
            </w:r>
            <w:r w:rsidR="004221CA" w:rsidRPr="0048117C">
              <w:rPr>
                <w:rFonts w:ascii="Times New Roman" w:hAnsi="Times New Roman" w:cs="Times New Roman"/>
                <w:b/>
                <w:sz w:val="26"/>
                <w:szCs w:val="26"/>
              </w:rPr>
              <w:br/>
            </w:r>
          </w:p>
        </w:tc>
        <w:tc>
          <w:tcPr>
            <w:tcW w:w="3110" w:type="pct"/>
            <w:shd w:val="clear" w:color="auto" w:fill="auto"/>
          </w:tcPr>
          <w:p w:rsidR="004221CA" w:rsidRPr="0048117C" w:rsidRDefault="00B13884" w:rsidP="0048117C">
            <w:pPr>
              <w:spacing w:before="80" w:line="340" w:lineRule="exact"/>
              <w:jc w:val="center"/>
              <w:rPr>
                <w:rFonts w:ascii="Times New Roman" w:hAnsi="Times New Roman" w:cs="Times New Roman"/>
                <w:b/>
              </w:rPr>
            </w:pPr>
            <w:r w:rsidRPr="0048117C">
              <w:rPr>
                <w:rFonts w:ascii="Times New Roman" w:hAnsi="Times New Roman" w:cs="Times New Roman"/>
                <w:b/>
                <w:noProof/>
                <w:sz w:val="26"/>
                <w:szCs w:val="26"/>
                <w:lang w:val="en-US" w:eastAsia="en-US"/>
              </w:rPr>
              <w:pict>
                <v:shape id="_x0000_s1027" type="#_x0000_t32" style="position:absolute;left:0;text-align:left;margin-left:136.9pt;margin-top:39.3pt;width:173.25pt;height:0;z-index:251659264;mso-position-horizontal-relative:text;mso-position-vertical-relative:text" o:connectortype="straight"/>
              </w:pict>
            </w:r>
            <w:r w:rsidR="004221CA" w:rsidRPr="0048117C">
              <w:rPr>
                <w:rFonts w:ascii="Times New Roman" w:hAnsi="Times New Roman" w:cs="Times New Roman"/>
                <w:b/>
                <w:sz w:val="26"/>
                <w:szCs w:val="26"/>
              </w:rPr>
              <w:t>CỘNG HÒA XÃ HỘI CHỦ NGHĨA VIỆT NAM</w:t>
            </w:r>
            <w:r w:rsidR="004221CA" w:rsidRPr="0048117C">
              <w:rPr>
                <w:rFonts w:ascii="Times New Roman" w:hAnsi="Times New Roman" w:cs="Times New Roman"/>
                <w:b/>
              </w:rPr>
              <w:br/>
            </w:r>
            <w:r w:rsidR="004221CA" w:rsidRPr="0048117C">
              <w:rPr>
                <w:rFonts w:ascii="Times New Roman" w:hAnsi="Times New Roman" w:cs="Times New Roman"/>
                <w:b/>
                <w:sz w:val="28"/>
                <w:szCs w:val="28"/>
              </w:rPr>
              <w:t>Độc lập - Tự do - Hạnh phúc</w:t>
            </w:r>
            <w:r w:rsidR="004221CA" w:rsidRPr="0048117C">
              <w:rPr>
                <w:rFonts w:ascii="Times New Roman" w:hAnsi="Times New Roman" w:cs="Times New Roman"/>
                <w:b/>
              </w:rPr>
              <w:t xml:space="preserve"> </w:t>
            </w:r>
            <w:r w:rsidR="004221CA" w:rsidRPr="0048117C">
              <w:rPr>
                <w:rFonts w:ascii="Times New Roman" w:hAnsi="Times New Roman" w:cs="Times New Roman"/>
                <w:b/>
              </w:rPr>
              <w:br/>
            </w:r>
          </w:p>
        </w:tc>
      </w:tr>
      <w:tr w:rsidR="004221CA" w:rsidRPr="0048117C" w:rsidTr="00FB47CE">
        <w:tc>
          <w:tcPr>
            <w:tcW w:w="1890" w:type="pct"/>
            <w:shd w:val="clear" w:color="auto" w:fill="auto"/>
          </w:tcPr>
          <w:p w:rsidR="004221CA" w:rsidRPr="0048117C" w:rsidRDefault="004221CA" w:rsidP="0048117C">
            <w:pPr>
              <w:spacing w:before="80" w:line="340" w:lineRule="exact"/>
              <w:jc w:val="center"/>
              <w:rPr>
                <w:rFonts w:ascii="Times New Roman" w:hAnsi="Times New Roman" w:cs="Times New Roman"/>
                <w:sz w:val="20"/>
              </w:rPr>
            </w:pPr>
          </w:p>
        </w:tc>
        <w:tc>
          <w:tcPr>
            <w:tcW w:w="3110" w:type="pct"/>
            <w:shd w:val="clear" w:color="auto" w:fill="auto"/>
          </w:tcPr>
          <w:p w:rsidR="004221CA" w:rsidRPr="0048117C" w:rsidRDefault="000153F4" w:rsidP="0048117C">
            <w:pPr>
              <w:spacing w:before="80" w:line="340" w:lineRule="exact"/>
              <w:jc w:val="right"/>
              <w:rPr>
                <w:rFonts w:ascii="Times New Roman" w:hAnsi="Times New Roman" w:cs="Times New Roman"/>
                <w:i/>
                <w:sz w:val="26"/>
                <w:szCs w:val="26"/>
              </w:rPr>
            </w:pPr>
            <w:r w:rsidRPr="0048117C">
              <w:rPr>
                <w:rFonts w:ascii="Times New Roman" w:hAnsi="Times New Roman" w:cs="Times New Roman"/>
                <w:i/>
                <w:sz w:val="26"/>
                <w:szCs w:val="26"/>
                <w:lang w:val="es-CO"/>
              </w:rPr>
              <w:t xml:space="preserve">Sơn La, ngày      tháng </w:t>
            </w:r>
            <w:r w:rsidR="00C50E16" w:rsidRPr="0048117C">
              <w:rPr>
                <w:rFonts w:ascii="Times New Roman" w:hAnsi="Times New Roman" w:cs="Times New Roman"/>
                <w:i/>
                <w:sz w:val="26"/>
                <w:szCs w:val="26"/>
                <w:lang w:val="es-CO"/>
              </w:rPr>
              <w:t>8</w:t>
            </w:r>
            <w:r w:rsidR="006A31DF" w:rsidRPr="0048117C">
              <w:rPr>
                <w:rFonts w:ascii="Times New Roman" w:hAnsi="Times New Roman" w:cs="Times New Roman"/>
                <w:i/>
                <w:sz w:val="26"/>
                <w:szCs w:val="26"/>
                <w:lang w:val="es-CO"/>
              </w:rPr>
              <w:t xml:space="preserve"> </w:t>
            </w:r>
            <w:r w:rsidRPr="0048117C">
              <w:rPr>
                <w:rFonts w:ascii="Times New Roman" w:hAnsi="Times New Roman" w:cs="Times New Roman"/>
                <w:i/>
                <w:sz w:val="26"/>
                <w:szCs w:val="26"/>
                <w:lang w:val="es-CO"/>
              </w:rPr>
              <w:t>năm 2025</w:t>
            </w:r>
          </w:p>
        </w:tc>
      </w:tr>
    </w:tbl>
    <w:p w:rsidR="00562347" w:rsidRPr="0048117C" w:rsidRDefault="004221CA" w:rsidP="0048117C">
      <w:pPr>
        <w:spacing w:before="80" w:line="340" w:lineRule="exact"/>
        <w:jc w:val="center"/>
        <w:rPr>
          <w:rFonts w:ascii="Times New Roman" w:hAnsi="Times New Roman" w:cs="Times New Roman"/>
          <w:b/>
          <w:bCs/>
          <w:sz w:val="26"/>
          <w:szCs w:val="26"/>
          <w:lang w:val="en-US"/>
        </w:rPr>
      </w:pPr>
      <w:bookmarkStart w:id="0" w:name="_Hlk199316091"/>
      <w:r w:rsidRPr="0048117C">
        <w:rPr>
          <w:rFonts w:ascii="Times New Roman" w:hAnsi="Times New Roman" w:cs="Times New Roman"/>
          <w:b/>
          <w:bCs/>
          <w:sz w:val="26"/>
          <w:szCs w:val="26"/>
        </w:rPr>
        <w:t xml:space="preserve">BẢN </w:t>
      </w:r>
      <w:bookmarkEnd w:id="0"/>
      <w:r w:rsidR="008636C4" w:rsidRPr="0048117C">
        <w:rPr>
          <w:rFonts w:ascii="Times New Roman" w:hAnsi="Times New Roman" w:cs="Times New Roman"/>
          <w:b/>
          <w:bCs/>
          <w:sz w:val="26"/>
          <w:szCs w:val="26"/>
          <w:lang w:val="en-US"/>
        </w:rPr>
        <w:t xml:space="preserve">SO SÁNH, THUYẾT MINH NỘI DUNG DỰ THẢO </w:t>
      </w:r>
      <w:r w:rsidR="00447C89" w:rsidRPr="0048117C">
        <w:rPr>
          <w:rFonts w:ascii="Times New Roman" w:hAnsi="Times New Roman" w:cs="Times New Roman"/>
          <w:b/>
          <w:bCs/>
          <w:sz w:val="26"/>
          <w:szCs w:val="26"/>
          <w:lang w:val="en-US"/>
        </w:rPr>
        <w:t xml:space="preserve">QUYẾT ĐỊNH </w:t>
      </w:r>
      <w:r w:rsidR="00C50E16" w:rsidRPr="0048117C">
        <w:rPr>
          <w:rFonts w:ascii="Times New Roman" w:hAnsi="Times New Roman" w:cs="Times New Roman"/>
          <w:b/>
          <w:bCs/>
          <w:sz w:val="26"/>
          <w:szCs w:val="26"/>
          <w:lang w:val="en-US"/>
        </w:rPr>
        <w:t>PHÂN CẤP THẨM QUYỀN QUYẾT ĐỊNH TIÊU CHUẨN, ĐỊNH MỨC DIỆN TÍCH CHUYÊN DÙNG CỦA CÁC CƠ QUAN, TỔ CHỨC, ĐƠN VỊ THUỘC PHẠM VI QUẢN LÝ CỦA UBND TỈNH SƠN LA</w:t>
      </w:r>
      <w:r w:rsidR="00EF1CFC" w:rsidRPr="0048117C">
        <w:rPr>
          <w:rFonts w:ascii="Times New Roman" w:hAnsi="Times New Roman" w:cs="Times New Roman"/>
          <w:b/>
          <w:bCs/>
          <w:sz w:val="26"/>
          <w:szCs w:val="26"/>
          <w:lang w:val="en-US"/>
        </w:rPr>
        <w:t xml:space="preserve"> </w:t>
      </w:r>
      <w:r w:rsidR="008636C4" w:rsidRPr="0048117C">
        <w:rPr>
          <w:rFonts w:ascii="Times New Roman" w:hAnsi="Times New Roman" w:cs="Times New Roman"/>
          <w:b/>
          <w:bCs/>
          <w:sz w:val="26"/>
          <w:szCs w:val="26"/>
          <w:lang w:val="en-US"/>
        </w:rPr>
        <w:t>VỚI QUY ĐỊNH PHÁP LUẬT HIỆN HÀNH</w:t>
      </w:r>
    </w:p>
    <w:p w:rsidR="005B6B37" w:rsidRDefault="005B6B37" w:rsidP="0048117C">
      <w:pPr>
        <w:spacing w:before="80" w:line="340" w:lineRule="exact"/>
        <w:jc w:val="center"/>
        <w:rPr>
          <w:rFonts w:ascii="Times New Roman" w:hAnsi="Times New Roman" w:cs="Times New Roman"/>
          <w:b/>
          <w:bCs/>
          <w:sz w:val="28"/>
          <w:szCs w:val="28"/>
          <w:lang w:val="en-US"/>
        </w:rPr>
      </w:pPr>
      <w:r w:rsidRPr="0048117C">
        <w:rPr>
          <w:rFonts w:ascii="Times New Roman" w:hAnsi="Times New Roman" w:cs="Times New Roman"/>
          <w:b/>
          <w:bCs/>
          <w:noProof/>
          <w:sz w:val="28"/>
          <w:szCs w:val="28"/>
          <w:lang w:val="en-US" w:eastAsia="en-US"/>
        </w:rPr>
        <w:pict>
          <v:shape id="_x0000_s1028" type="#_x0000_t32" style="position:absolute;left:0;text-align:left;margin-left:238.8pt;margin-top:5.45pt;width:267pt;height:0;z-index:251660288" o:connectortype="straight"/>
        </w:pict>
      </w:r>
    </w:p>
    <w:p w:rsidR="00562347" w:rsidRPr="0048117C" w:rsidRDefault="00562347" w:rsidP="0048117C">
      <w:pPr>
        <w:spacing w:before="80" w:line="340" w:lineRule="exact"/>
        <w:jc w:val="center"/>
        <w:rPr>
          <w:rFonts w:ascii="Times New Roman" w:hAnsi="Times New Roman" w:cs="Times New Roman"/>
          <w:b/>
          <w:bCs/>
          <w:sz w:val="28"/>
          <w:szCs w:val="28"/>
          <w:lang w:val="en-US"/>
        </w:rPr>
      </w:pPr>
    </w:p>
    <w:tbl>
      <w:tblPr>
        <w:tblStyle w:val="TableGrid"/>
        <w:tblW w:w="14601" w:type="dxa"/>
        <w:tblInd w:w="108" w:type="dxa"/>
        <w:tblLook w:val="04A0"/>
      </w:tblPr>
      <w:tblGrid>
        <w:gridCol w:w="4928"/>
        <w:gridCol w:w="4853"/>
        <w:gridCol w:w="4820"/>
      </w:tblGrid>
      <w:tr w:rsidR="00763630" w:rsidRPr="0048117C" w:rsidTr="00E95DD1">
        <w:trPr>
          <w:tblHeader/>
        </w:trPr>
        <w:tc>
          <w:tcPr>
            <w:tcW w:w="4928" w:type="dxa"/>
            <w:vAlign w:val="center"/>
          </w:tcPr>
          <w:p w:rsidR="00763630" w:rsidRPr="0048117C" w:rsidRDefault="00763630" w:rsidP="0048117C">
            <w:pPr>
              <w:spacing w:before="80" w:line="340" w:lineRule="exact"/>
              <w:jc w:val="center"/>
              <w:rPr>
                <w:rFonts w:ascii="Times New Roman" w:hAnsi="Times New Roman" w:cs="Times New Roman"/>
                <w:b/>
                <w:bCs/>
                <w:sz w:val="26"/>
                <w:szCs w:val="26"/>
                <w:lang w:val="en-US"/>
              </w:rPr>
            </w:pPr>
            <w:r w:rsidRPr="0048117C">
              <w:rPr>
                <w:rFonts w:ascii="Times New Roman" w:hAnsi="Times New Roman" w:cs="Times New Roman"/>
                <w:b/>
                <w:bCs/>
                <w:sz w:val="26"/>
                <w:szCs w:val="26"/>
                <w:lang w:val="en-US"/>
              </w:rPr>
              <w:t xml:space="preserve">QUYẾT ĐỊNH SỐ </w:t>
            </w:r>
            <w:r w:rsidR="00C50E16" w:rsidRPr="0048117C">
              <w:rPr>
                <w:rFonts w:ascii="Times New Roman" w:hAnsi="Times New Roman" w:cs="Times New Roman"/>
                <w:b/>
                <w:bCs/>
                <w:sz w:val="26"/>
                <w:szCs w:val="26"/>
                <w:lang w:val="en-US"/>
              </w:rPr>
              <w:t>38/2025/</w:t>
            </w:r>
            <w:r w:rsidRPr="0048117C">
              <w:rPr>
                <w:rFonts w:ascii="Times New Roman" w:hAnsi="Times New Roman" w:cs="Times New Roman"/>
                <w:b/>
                <w:bCs/>
                <w:sz w:val="26"/>
                <w:szCs w:val="26"/>
                <w:lang w:val="en-US"/>
              </w:rPr>
              <w:t>QĐ-UBND</w:t>
            </w:r>
          </w:p>
        </w:tc>
        <w:tc>
          <w:tcPr>
            <w:tcW w:w="4853" w:type="dxa"/>
            <w:vAlign w:val="center"/>
          </w:tcPr>
          <w:p w:rsidR="00763630" w:rsidRPr="0048117C" w:rsidRDefault="00763630" w:rsidP="0048117C">
            <w:pPr>
              <w:spacing w:before="80" w:line="340" w:lineRule="exact"/>
              <w:jc w:val="center"/>
              <w:rPr>
                <w:rFonts w:ascii="Times New Roman" w:hAnsi="Times New Roman" w:cs="Times New Roman"/>
                <w:b/>
                <w:bCs/>
                <w:sz w:val="26"/>
                <w:szCs w:val="26"/>
                <w:lang w:val="en-US"/>
              </w:rPr>
            </w:pPr>
            <w:r w:rsidRPr="0048117C">
              <w:rPr>
                <w:rFonts w:ascii="Times New Roman" w:hAnsi="Times New Roman" w:cs="Times New Roman"/>
                <w:b/>
                <w:bCs/>
                <w:sz w:val="26"/>
                <w:szCs w:val="26"/>
                <w:lang w:val="en-US"/>
              </w:rPr>
              <w:t>DỰ THẢO VĂN BẢN</w:t>
            </w:r>
          </w:p>
        </w:tc>
        <w:tc>
          <w:tcPr>
            <w:tcW w:w="4820" w:type="dxa"/>
            <w:vAlign w:val="center"/>
          </w:tcPr>
          <w:p w:rsidR="00763630" w:rsidRPr="0048117C" w:rsidRDefault="00763630" w:rsidP="0048117C">
            <w:pPr>
              <w:spacing w:before="80" w:line="340" w:lineRule="exact"/>
              <w:jc w:val="center"/>
              <w:rPr>
                <w:rFonts w:ascii="Times New Roman" w:hAnsi="Times New Roman" w:cs="Times New Roman"/>
                <w:b/>
                <w:bCs/>
                <w:sz w:val="26"/>
                <w:szCs w:val="26"/>
                <w:lang w:val="en-US"/>
              </w:rPr>
            </w:pPr>
            <w:r w:rsidRPr="0048117C">
              <w:rPr>
                <w:rFonts w:ascii="Times New Roman" w:hAnsi="Times New Roman" w:cs="Times New Roman"/>
                <w:b/>
                <w:bCs/>
                <w:sz w:val="26"/>
                <w:szCs w:val="26"/>
                <w:lang w:val="en-US"/>
              </w:rPr>
              <w:t>THUYẾT MINH</w:t>
            </w:r>
          </w:p>
        </w:tc>
      </w:tr>
      <w:tr w:rsidR="003B71FF" w:rsidRPr="0048117C" w:rsidTr="00E95DD1">
        <w:tc>
          <w:tcPr>
            <w:tcW w:w="4928" w:type="dxa"/>
          </w:tcPr>
          <w:p w:rsidR="003B71FF" w:rsidRPr="0048117C" w:rsidRDefault="003B71FF" w:rsidP="0048117C">
            <w:pPr>
              <w:pStyle w:val="NormalWeb"/>
              <w:shd w:val="clear" w:color="auto" w:fill="FFFFFF"/>
              <w:spacing w:before="80" w:beforeAutospacing="0" w:after="0" w:afterAutospacing="0" w:line="340" w:lineRule="exact"/>
              <w:jc w:val="both"/>
              <w:rPr>
                <w:sz w:val="26"/>
                <w:szCs w:val="26"/>
              </w:rPr>
            </w:pPr>
            <w:r w:rsidRPr="0048117C">
              <w:rPr>
                <w:b/>
                <w:bCs/>
                <w:sz w:val="26"/>
                <w:szCs w:val="26"/>
              </w:rPr>
              <w:t>Điều 1. Phạm vi điều chỉnh và đối tượng áp dụng</w:t>
            </w:r>
          </w:p>
        </w:tc>
        <w:tc>
          <w:tcPr>
            <w:tcW w:w="4853" w:type="dxa"/>
          </w:tcPr>
          <w:p w:rsidR="003B71FF" w:rsidRPr="0048117C" w:rsidRDefault="003B71FF" w:rsidP="0048117C">
            <w:pPr>
              <w:pStyle w:val="NormalWeb"/>
              <w:shd w:val="clear" w:color="auto" w:fill="FFFFFF"/>
              <w:spacing w:before="80" w:beforeAutospacing="0" w:after="0" w:afterAutospacing="0" w:line="340" w:lineRule="exact"/>
              <w:jc w:val="both"/>
              <w:rPr>
                <w:sz w:val="26"/>
                <w:szCs w:val="26"/>
              </w:rPr>
            </w:pPr>
            <w:r w:rsidRPr="0048117C">
              <w:rPr>
                <w:b/>
                <w:bCs/>
                <w:sz w:val="26"/>
                <w:szCs w:val="26"/>
              </w:rPr>
              <w:t>Điều 1. Phạm vi điều chỉnh và đối tượng áp dụng</w:t>
            </w:r>
          </w:p>
        </w:tc>
        <w:tc>
          <w:tcPr>
            <w:tcW w:w="4820" w:type="dxa"/>
            <w:vAlign w:val="center"/>
          </w:tcPr>
          <w:p w:rsidR="003B71FF" w:rsidRPr="0048117C" w:rsidRDefault="003B71FF" w:rsidP="0048117C">
            <w:pPr>
              <w:pStyle w:val="NormalWeb"/>
              <w:shd w:val="clear" w:color="auto" w:fill="FFFFFF"/>
              <w:spacing w:before="80" w:beforeAutospacing="0" w:after="0" w:afterAutospacing="0" w:line="340" w:lineRule="exact"/>
              <w:jc w:val="both"/>
              <w:rPr>
                <w:spacing w:val="-2"/>
                <w:sz w:val="26"/>
                <w:szCs w:val="26"/>
              </w:rPr>
            </w:pPr>
            <w:r w:rsidRPr="0048117C">
              <w:rPr>
                <w:spacing w:val="-2"/>
                <w:sz w:val="26"/>
                <w:szCs w:val="26"/>
              </w:rPr>
              <w:t>Giữ nguyên tên Điều 1</w:t>
            </w:r>
          </w:p>
        </w:tc>
      </w:tr>
      <w:tr w:rsidR="00E95DD1" w:rsidRPr="0048117C" w:rsidTr="00E95DD1">
        <w:tc>
          <w:tcPr>
            <w:tcW w:w="4928" w:type="dxa"/>
          </w:tcPr>
          <w:p w:rsidR="00E95DD1" w:rsidRPr="0048117C" w:rsidRDefault="00E95DD1" w:rsidP="0048117C">
            <w:pPr>
              <w:pStyle w:val="NormalWeb"/>
              <w:shd w:val="clear" w:color="auto" w:fill="FFFFFF"/>
              <w:spacing w:before="80" w:beforeAutospacing="0" w:after="0" w:afterAutospacing="0" w:line="340" w:lineRule="exact"/>
              <w:jc w:val="both"/>
              <w:rPr>
                <w:sz w:val="26"/>
                <w:szCs w:val="26"/>
              </w:rPr>
            </w:pPr>
            <w:r w:rsidRPr="0048117C">
              <w:rPr>
                <w:sz w:val="26"/>
                <w:szCs w:val="26"/>
              </w:rPr>
              <w:t>1. Phạm vi điều chỉnh</w:t>
            </w:r>
          </w:p>
          <w:p w:rsidR="00E95DD1" w:rsidRPr="0048117C" w:rsidRDefault="00E95DD1" w:rsidP="0048117C">
            <w:pPr>
              <w:pStyle w:val="NormalWeb"/>
              <w:shd w:val="clear" w:color="auto" w:fill="FFFFFF"/>
              <w:spacing w:before="80" w:beforeAutospacing="0" w:after="0" w:afterAutospacing="0" w:line="340" w:lineRule="exact"/>
              <w:jc w:val="both"/>
              <w:rPr>
                <w:sz w:val="26"/>
                <w:szCs w:val="26"/>
              </w:rPr>
            </w:pPr>
            <w:r w:rsidRPr="0048117C">
              <w:rPr>
                <w:sz w:val="26"/>
                <w:szCs w:val="26"/>
              </w:rPr>
              <w:t>Quyết định này ban hành tiêu chuẩn định mức sử dụng diện tích chuyên dùng thuộc trụ sở làm việc của cơ quan, tổ chức (theo khoản 2 Điều 7 Nghị định số </w:t>
            </w:r>
            <w:hyperlink r:id="rId8" w:tgtFrame="_blank" w:tooltip="Nghị định 152/2017/NĐ-CP" w:history="1">
              <w:r w:rsidRPr="0048117C">
                <w:rPr>
                  <w:sz w:val="26"/>
                  <w:szCs w:val="26"/>
                </w:rPr>
                <w:t>152/2017/NĐ-CP</w:t>
              </w:r>
            </w:hyperlink>
            <w:r w:rsidRPr="0048117C">
              <w:rPr>
                <w:sz w:val="26"/>
                <w:szCs w:val="26"/>
              </w:rPr>
              <w:t> ngày 27/12/2017 của Chính phủ); phân cấp thẩm quyền ban hành tiêu chuẩn, định mức sử dụng công trình sự nghiệp của đơn vị sự nghiệp công lập (theo điểm b khoản 2, khoản 3 Điều 9 Nghị định số </w:t>
            </w:r>
            <w:hyperlink r:id="rId9" w:tgtFrame="_blank" w:tooltip="Nghị định 152/2017/NĐ-CP" w:history="1">
              <w:r w:rsidRPr="0048117C">
                <w:rPr>
                  <w:sz w:val="26"/>
                  <w:szCs w:val="26"/>
                </w:rPr>
                <w:t>152/2017/NĐ-CP</w:t>
              </w:r>
            </w:hyperlink>
            <w:r w:rsidRPr="0048117C">
              <w:rPr>
                <w:sz w:val="26"/>
                <w:szCs w:val="26"/>
              </w:rPr>
              <w:t> ngày 27/12/2017 của Chính phủ) thuộc phạm vi quản lý của tỉnh Sơn La.</w:t>
            </w:r>
          </w:p>
        </w:tc>
        <w:tc>
          <w:tcPr>
            <w:tcW w:w="4853" w:type="dxa"/>
          </w:tcPr>
          <w:p w:rsidR="00E95DD1" w:rsidRPr="0048117C" w:rsidRDefault="00E95DD1" w:rsidP="0048117C">
            <w:pPr>
              <w:pStyle w:val="NormalWeb"/>
              <w:shd w:val="clear" w:color="auto" w:fill="FFFFFF"/>
              <w:spacing w:before="80" w:beforeAutospacing="0" w:after="0" w:afterAutospacing="0" w:line="340" w:lineRule="exact"/>
              <w:jc w:val="both"/>
              <w:rPr>
                <w:sz w:val="26"/>
                <w:szCs w:val="26"/>
                <w:lang w:val="nl-NL"/>
              </w:rPr>
            </w:pPr>
            <w:r w:rsidRPr="0048117C">
              <w:rPr>
                <w:sz w:val="26"/>
                <w:szCs w:val="26"/>
                <w:lang w:val="nl-NL"/>
              </w:rPr>
              <w:t xml:space="preserve">1. Phạm vi điều chỉnh: Quyết định này quy định về </w:t>
            </w:r>
            <w:r w:rsidRPr="0048117C">
              <w:rPr>
                <w:color w:val="000000"/>
                <w:spacing w:val="-2"/>
                <w:sz w:val="26"/>
                <w:szCs w:val="26"/>
              </w:rPr>
              <w:t xml:space="preserve">phân cấp thẩm quyền quyết định tiêu chuẩn, định mức diện tích chuyên dùng của các cơ quan, tổ chức, đơn vị thuộc phạm vi quản lý của UBND tỉnh Sơn La theo quy định tại </w:t>
            </w:r>
            <w:r w:rsidRPr="0048117C">
              <w:rPr>
                <w:sz w:val="26"/>
                <w:szCs w:val="26"/>
                <w:lang w:val="nl-NL"/>
              </w:rPr>
              <w:t xml:space="preserve">điểm đ khoản 2 Điều 7 và điểm đ khoản 2 Điều 11 </w:t>
            </w:r>
            <w:r w:rsidRPr="0048117C">
              <w:rPr>
                <w:color w:val="000000"/>
                <w:spacing w:val="-2"/>
                <w:sz w:val="26"/>
                <w:szCs w:val="26"/>
              </w:rPr>
              <w:t xml:space="preserve">Nghị định số 155/2025/NĐ-CP ngày 16/6/2025 của Chính </w:t>
            </w:r>
            <w:r w:rsidRPr="0048117C">
              <w:rPr>
                <w:sz w:val="26"/>
                <w:szCs w:val="26"/>
                <w:lang w:val="nl-NL"/>
              </w:rPr>
              <w:t>phủ quy định tiêu chuẩn, định mức sử dụng trụ sở làm việc, cơ sở hoạt động sự nghiệp.</w:t>
            </w:r>
          </w:p>
        </w:tc>
        <w:tc>
          <w:tcPr>
            <w:tcW w:w="4820" w:type="dxa"/>
            <w:vAlign w:val="center"/>
          </w:tcPr>
          <w:p w:rsidR="00E95DD1" w:rsidRPr="0048117C" w:rsidRDefault="00E95DD1" w:rsidP="0048117C">
            <w:pPr>
              <w:pStyle w:val="NormalWeb"/>
              <w:shd w:val="clear" w:color="auto" w:fill="FFFFFF"/>
              <w:spacing w:before="80" w:beforeAutospacing="0" w:after="0" w:afterAutospacing="0" w:line="340" w:lineRule="exact"/>
              <w:jc w:val="both"/>
              <w:rPr>
                <w:color w:val="000000"/>
                <w:spacing w:val="-2"/>
                <w:sz w:val="26"/>
                <w:szCs w:val="26"/>
              </w:rPr>
            </w:pPr>
            <w:r w:rsidRPr="0048117C">
              <w:rPr>
                <w:spacing w:val="-2"/>
                <w:sz w:val="26"/>
                <w:szCs w:val="26"/>
              </w:rPr>
              <w:t>Thay thế toàn bộ quy định tại khoản 1 Điều 1. Lý do:</w:t>
            </w:r>
          </w:p>
          <w:p w:rsidR="00E95DD1" w:rsidRPr="0048117C" w:rsidRDefault="00E95DD1" w:rsidP="0048117C">
            <w:pPr>
              <w:spacing w:before="80" w:line="340" w:lineRule="exact"/>
              <w:jc w:val="both"/>
              <w:rPr>
                <w:rFonts w:ascii="Times New Roman" w:hAnsi="Times New Roman" w:cs="Times New Roman"/>
                <w:spacing w:val="-2"/>
                <w:sz w:val="26"/>
                <w:szCs w:val="26"/>
                <w:lang w:val="en-US" w:eastAsia="en-US"/>
              </w:rPr>
            </w:pPr>
            <w:r w:rsidRPr="0048117C">
              <w:rPr>
                <w:rFonts w:ascii="Times New Roman" w:hAnsi="Times New Roman" w:cs="Times New Roman"/>
                <w:spacing w:val="-2"/>
                <w:sz w:val="26"/>
                <w:szCs w:val="26"/>
                <w:lang w:val="en-US" w:eastAsia="en-US"/>
              </w:rPr>
              <w:t>- Tại điểm đ khoản 2 Điều 7 Nghị định số 155/2025/NĐ-CP quy định: UBND tỉnh quyết định hoặc phân cấp thẩm quyền quyết định tiêu chuẩn, định mức diện tích chuyên dùng của các cơ quan, tổ chức. Do đó, Sở Tài chính đề xuất phân cấp thẩm quyền quyết định tiêu chuẩn, định mức diện tích chuyên dùng của các cơ quan, tổ chức, đơn vị đảm bảo phù hợp với Luật Tổ chức chính quyền địa phương, Nghị quyết số 04/NQ-CP, Quyết định số 608/QĐ-TTg, Kế hoạch số 106/KH-UBND ngày 18/04/2025.</w:t>
            </w:r>
          </w:p>
          <w:p w:rsidR="00E95DD1" w:rsidRPr="0048117C" w:rsidRDefault="00E95DD1" w:rsidP="0048117C">
            <w:pPr>
              <w:spacing w:before="80" w:line="340" w:lineRule="exact"/>
              <w:jc w:val="both"/>
              <w:rPr>
                <w:rFonts w:ascii="Times New Roman" w:hAnsi="Times New Roman" w:cs="Times New Roman"/>
                <w:spacing w:val="-2"/>
                <w:sz w:val="26"/>
                <w:szCs w:val="26"/>
                <w:lang w:val="en-US" w:eastAsia="en-US"/>
              </w:rPr>
            </w:pPr>
            <w:r w:rsidRPr="0048117C">
              <w:rPr>
                <w:rFonts w:ascii="Times New Roman" w:hAnsi="Times New Roman" w:cs="Times New Roman"/>
                <w:spacing w:val="-2"/>
                <w:sz w:val="26"/>
                <w:szCs w:val="26"/>
                <w:lang w:val="en-US" w:eastAsia="en-US"/>
              </w:rPr>
              <w:t xml:space="preserve">- Bổ sung quy định phân cấp thẩm quyền </w:t>
            </w:r>
            <w:r w:rsidRPr="0048117C">
              <w:rPr>
                <w:rFonts w:ascii="Times New Roman" w:hAnsi="Times New Roman" w:cs="Times New Roman"/>
                <w:spacing w:val="-2"/>
                <w:sz w:val="26"/>
                <w:szCs w:val="26"/>
                <w:lang w:val="en-US" w:eastAsia="en-US"/>
              </w:rPr>
              <w:lastRenderedPageBreak/>
              <w:t>quyết định tiêu chuẩn, định mức diện tích chuyên dùng của đơn vị sự nghiệp công lập theo quy định tại điểm đ khoản 2 Điều 11 Nghị định số 155/2025/NĐ-CP.</w:t>
            </w:r>
          </w:p>
        </w:tc>
      </w:tr>
      <w:tr w:rsidR="00763630" w:rsidRPr="0048117C" w:rsidTr="00E95DD1">
        <w:tc>
          <w:tcPr>
            <w:tcW w:w="4928" w:type="dxa"/>
          </w:tcPr>
          <w:p w:rsidR="00EC68EF" w:rsidRPr="0048117C" w:rsidRDefault="00EC68EF" w:rsidP="0048117C">
            <w:pPr>
              <w:pStyle w:val="NormalWeb"/>
              <w:shd w:val="clear" w:color="auto" w:fill="FFFFFF"/>
              <w:spacing w:before="80" w:beforeAutospacing="0" w:after="0" w:afterAutospacing="0" w:line="340" w:lineRule="exact"/>
              <w:jc w:val="both"/>
              <w:rPr>
                <w:sz w:val="26"/>
                <w:szCs w:val="26"/>
              </w:rPr>
            </w:pPr>
            <w:r w:rsidRPr="0048117C">
              <w:rPr>
                <w:sz w:val="26"/>
                <w:szCs w:val="26"/>
              </w:rPr>
              <w:lastRenderedPageBreak/>
              <w:t>2. Đối tượng áp dụng</w:t>
            </w:r>
          </w:p>
          <w:p w:rsidR="004E2923" w:rsidRPr="0048117C" w:rsidRDefault="00EC68EF" w:rsidP="0048117C">
            <w:pPr>
              <w:pStyle w:val="NormalWeb"/>
              <w:shd w:val="clear" w:color="auto" w:fill="FFFFFF"/>
              <w:spacing w:before="80" w:beforeAutospacing="0" w:after="0" w:afterAutospacing="0" w:line="340" w:lineRule="exact"/>
              <w:jc w:val="both"/>
              <w:rPr>
                <w:sz w:val="26"/>
                <w:szCs w:val="26"/>
              </w:rPr>
            </w:pPr>
            <w:r w:rsidRPr="0048117C">
              <w:rPr>
                <w:sz w:val="26"/>
                <w:szCs w:val="26"/>
              </w:rPr>
              <w:t>Cơ quan nhà nước, cơ quan Đảng Cộng sản Việt Nam, tổ chức chính trị - xã hội được ngân sách nhà nước đảm bảo kinh phí hoạt động, đơn vị sự nghiệp công lập (trừ đơn vị sự nghiệp công lập tự đảm bảo chi thường xuyên và chi đầu tư), ban quản lý dự án sử dụng vốn nhà nước (sau đây gọi tắt là các cơ quan, tổ chức, đơn vị).</w:t>
            </w:r>
          </w:p>
        </w:tc>
        <w:tc>
          <w:tcPr>
            <w:tcW w:w="4853" w:type="dxa"/>
          </w:tcPr>
          <w:p w:rsidR="006607D1" w:rsidRPr="0048117C" w:rsidRDefault="006607D1" w:rsidP="0048117C">
            <w:pPr>
              <w:pStyle w:val="NormalWeb"/>
              <w:shd w:val="clear" w:color="auto" w:fill="FFFFFF"/>
              <w:spacing w:before="80" w:beforeAutospacing="0" w:after="0" w:afterAutospacing="0" w:line="340" w:lineRule="exact"/>
              <w:jc w:val="both"/>
              <w:rPr>
                <w:sz w:val="26"/>
                <w:szCs w:val="26"/>
              </w:rPr>
            </w:pPr>
            <w:r w:rsidRPr="0048117C">
              <w:rPr>
                <w:sz w:val="26"/>
                <w:szCs w:val="26"/>
              </w:rPr>
              <w:t>2. Đối tượng áp dụng</w:t>
            </w:r>
            <w:r w:rsidRPr="0048117C">
              <w:rPr>
                <w:sz w:val="26"/>
                <w:szCs w:val="26"/>
              </w:rPr>
              <w:tab/>
            </w:r>
            <w:r w:rsidRPr="0048117C">
              <w:rPr>
                <w:sz w:val="26"/>
                <w:szCs w:val="26"/>
              </w:rPr>
              <w:tab/>
            </w:r>
          </w:p>
          <w:p w:rsidR="006607D1" w:rsidRPr="0048117C" w:rsidRDefault="006607D1" w:rsidP="0048117C">
            <w:pPr>
              <w:pStyle w:val="NormalWeb"/>
              <w:shd w:val="clear" w:color="auto" w:fill="FFFFFF"/>
              <w:spacing w:before="80" w:beforeAutospacing="0" w:after="0" w:afterAutospacing="0" w:line="340" w:lineRule="exact"/>
              <w:jc w:val="both"/>
              <w:rPr>
                <w:sz w:val="26"/>
                <w:szCs w:val="26"/>
              </w:rPr>
            </w:pPr>
            <w:r w:rsidRPr="0048117C">
              <w:rPr>
                <w:sz w:val="26"/>
                <w:szCs w:val="26"/>
              </w:rPr>
              <w:t xml:space="preserve">a) Cơ quan nhà nước, đơn vị sự nghiệp công lập (trừ đơn vị sự nghiệp công lập tự bảo đảm chi thường xuyên và chi đầu tư), ban quản lý các dự án sử dụng vốn nhà nước (sau đây gọi là cơ quan, tổ chức, đơn vị); </w:t>
            </w:r>
          </w:p>
          <w:p w:rsidR="00763630" w:rsidRPr="0048117C" w:rsidRDefault="006607D1" w:rsidP="0048117C">
            <w:pPr>
              <w:pStyle w:val="NormalWeb"/>
              <w:shd w:val="clear" w:color="auto" w:fill="FFFFFF"/>
              <w:spacing w:before="80" w:beforeAutospacing="0" w:after="0" w:afterAutospacing="0" w:line="340" w:lineRule="exact"/>
              <w:jc w:val="both"/>
              <w:rPr>
                <w:sz w:val="26"/>
                <w:szCs w:val="26"/>
              </w:rPr>
            </w:pPr>
            <w:r w:rsidRPr="0048117C">
              <w:rPr>
                <w:sz w:val="26"/>
                <w:szCs w:val="26"/>
              </w:rPr>
              <w:t>b) Tổ chức, cá nhân có liên quan đến việc xác định, quyết định, áp dụng tiêu chuẩn, định mức sử dụng trụ sở làm việc, cơ sở hoạt động sự nghiệp.</w:t>
            </w:r>
          </w:p>
        </w:tc>
        <w:tc>
          <w:tcPr>
            <w:tcW w:w="4820" w:type="dxa"/>
            <w:vAlign w:val="center"/>
          </w:tcPr>
          <w:p w:rsidR="00FC29B0" w:rsidRPr="0048117C" w:rsidRDefault="003B71FF" w:rsidP="0048117C">
            <w:pPr>
              <w:pStyle w:val="NormalWeb"/>
              <w:shd w:val="clear" w:color="auto" w:fill="FFFFFF"/>
              <w:spacing w:before="80" w:beforeAutospacing="0" w:after="0" w:afterAutospacing="0" w:line="340" w:lineRule="exact"/>
              <w:jc w:val="both"/>
              <w:rPr>
                <w:sz w:val="26"/>
                <w:szCs w:val="26"/>
              </w:rPr>
            </w:pPr>
            <w:r w:rsidRPr="0048117C">
              <w:rPr>
                <w:sz w:val="26"/>
                <w:szCs w:val="26"/>
              </w:rPr>
              <w:t>-Kế thừa đối tượng áp dụng đã quy định tại Quyết định số 38/2025/QĐ-UBND bao gồm: Cơ quan nhà nước,</w:t>
            </w:r>
            <w:r w:rsidR="007E5362" w:rsidRPr="0048117C">
              <w:rPr>
                <w:sz w:val="26"/>
                <w:szCs w:val="26"/>
              </w:rPr>
              <w:t xml:space="preserve"> đơn vị sự nghiệp công lập (trừ đơn vị sự nghiệp công lập tự bảo đảm chi thường xuyên và chi đầu tư), ban quản lý các dự án sử dụng vốn nhà nước.</w:t>
            </w:r>
          </w:p>
          <w:p w:rsidR="007E5362" w:rsidRPr="0048117C" w:rsidRDefault="007E5362" w:rsidP="0048117C">
            <w:pPr>
              <w:pStyle w:val="NormalWeb"/>
              <w:shd w:val="clear" w:color="auto" w:fill="FFFFFF"/>
              <w:spacing w:before="80" w:beforeAutospacing="0" w:after="0" w:afterAutospacing="0" w:line="340" w:lineRule="exact"/>
              <w:jc w:val="both"/>
              <w:rPr>
                <w:sz w:val="26"/>
                <w:szCs w:val="26"/>
              </w:rPr>
            </w:pPr>
            <w:r w:rsidRPr="0048117C">
              <w:rPr>
                <w:sz w:val="26"/>
                <w:szCs w:val="26"/>
              </w:rPr>
              <w:t>- Bỏ đối tượng là cơ quan Đảng Cộng sản Việt Nam, tổ chức chính trị - xã hội được ngân sách nhà nước đảm bảo kinh phí hoạt động</w:t>
            </w:r>
            <w:r w:rsidR="00F20A0F" w:rsidRPr="0048117C">
              <w:rPr>
                <w:sz w:val="26"/>
                <w:szCs w:val="26"/>
              </w:rPr>
              <w:t xml:space="preserve"> theo quy định tại điểm đ khoản 2 Điều 7 và điểm đ khoản 2 Điều 11 Nghị định số 155/2025/NĐ-CP đã quy định Ban Thường vụ Tỉnh ủy quyết định hoặc phân cấp thẩm quyền quyết định đối với các cơ quan Đảng, </w:t>
            </w:r>
            <w:r w:rsidR="00BF70F1" w:rsidRPr="0048117C">
              <w:rPr>
                <w:sz w:val="26"/>
                <w:szCs w:val="26"/>
              </w:rPr>
              <w:t>đơn vị sự nghiệp của Đảng ở địa phương.</w:t>
            </w:r>
          </w:p>
          <w:p w:rsidR="00BF70F1" w:rsidRPr="0048117C" w:rsidRDefault="00BF70F1" w:rsidP="0048117C">
            <w:pPr>
              <w:pStyle w:val="NormalWeb"/>
              <w:shd w:val="clear" w:color="auto" w:fill="FFFFFF"/>
              <w:spacing w:before="80" w:beforeAutospacing="0" w:after="0" w:afterAutospacing="0" w:line="340" w:lineRule="exact"/>
              <w:jc w:val="both"/>
              <w:rPr>
                <w:sz w:val="26"/>
                <w:szCs w:val="26"/>
              </w:rPr>
            </w:pPr>
            <w:r w:rsidRPr="0048117C">
              <w:rPr>
                <w:sz w:val="26"/>
                <w:szCs w:val="26"/>
              </w:rPr>
              <w:t>- Bổ sung thêm đối tượng là các Tổ chức, cá nhân có liên quan đến việc xác định, quyết định, áp dụng tiêu chuẩn, định mức sử dụng trụ sở làm việc, cơ sở hoạt động sự nghiệp</w:t>
            </w:r>
            <w:r w:rsidR="003F6183" w:rsidRPr="0048117C">
              <w:rPr>
                <w:sz w:val="26"/>
                <w:szCs w:val="26"/>
              </w:rPr>
              <w:t xml:space="preserve"> theo quy định tại tiết b khoản 1 Điều 2 Nghị định số 155/2025/NĐ-CP.</w:t>
            </w:r>
          </w:p>
        </w:tc>
      </w:tr>
      <w:tr w:rsidR="00763630" w:rsidRPr="0048117C" w:rsidTr="00E95DD1">
        <w:trPr>
          <w:trHeight w:val="513"/>
        </w:trPr>
        <w:tc>
          <w:tcPr>
            <w:tcW w:w="4928" w:type="dxa"/>
          </w:tcPr>
          <w:p w:rsidR="003F6183" w:rsidRPr="0048117C" w:rsidRDefault="003F6183" w:rsidP="0048117C">
            <w:pPr>
              <w:pStyle w:val="NormalWeb"/>
              <w:shd w:val="clear" w:color="auto" w:fill="FFFFFF"/>
              <w:spacing w:before="80" w:beforeAutospacing="0" w:after="0" w:afterAutospacing="0" w:line="340" w:lineRule="exact"/>
              <w:jc w:val="both"/>
              <w:rPr>
                <w:color w:val="000000"/>
                <w:sz w:val="26"/>
                <w:szCs w:val="26"/>
              </w:rPr>
            </w:pPr>
            <w:bookmarkStart w:id="1" w:name="dieu_2"/>
            <w:r w:rsidRPr="0048117C">
              <w:rPr>
                <w:b/>
                <w:bCs/>
                <w:color w:val="000000"/>
                <w:sz w:val="26"/>
                <w:szCs w:val="26"/>
              </w:rPr>
              <w:lastRenderedPageBreak/>
              <w:t>Điều 2. Ban hành tiêu chuẩn định mức sử dụng diện tích chuyên dùng thuộc trụ sở làm việc của cơ quan, tổ chức; phân cấp thẩm quyền ban hành tiêu chuẩn, định mức sử dụng công trình sự nghiệp của đơn vị sự nghiệp công lập thuộc phạm vi quản lý của tỉnh Sơn La</w:t>
            </w:r>
            <w:bookmarkEnd w:id="1"/>
          </w:p>
          <w:p w:rsidR="003F6183" w:rsidRPr="0048117C" w:rsidRDefault="003F6183" w:rsidP="0048117C">
            <w:pPr>
              <w:pStyle w:val="NormalWeb"/>
              <w:shd w:val="clear" w:color="auto" w:fill="FFFFFF"/>
              <w:spacing w:before="80" w:beforeAutospacing="0" w:after="0" w:afterAutospacing="0" w:line="340" w:lineRule="exact"/>
              <w:jc w:val="both"/>
              <w:rPr>
                <w:color w:val="000000"/>
                <w:sz w:val="26"/>
                <w:szCs w:val="26"/>
              </w:rPr>
            </w:pPr>
            <w:r w:rsidRPr="0048117C">
              <w:rPr>
                <w:color w:val="000000"/>
                <w:sz w:val="26"/>
                <w:szCs w:val="26"/>
              </w:rPr>
              <w:t>1. Ban hành tiêu chuẩn định mức sử dụng diện tích chuyên dùng thuộc trụ sở làm việc của cơ quan, tổ chức (có phụ lục chi tiết kèm theo).</w:t>
            </w:r>
          </w:p>
          <w:p w:rsidR="003F6183" w:rsidRPr="0048117C" w:rsidRDefault="003F6183" w:rsidP="0048117C">
            <w:pPr>
              <w:pStyle w:val="NormalWeb"/>
              <w:shd w:val="clear" w:color="auto" w:fill="FFFFFF"/>
              <w:spacing w:before="80" w:beforeAutospacing="0" w:after="0" w:afterAutospacing="0" w:line="340" w:lineRule="exact"/>
              <w:jc w:val="both"/>
              <w:rPr>
                <w:color w:val="000000"/>
                <w:sz w:val="26"/>
                <w:szCs w:val="26"/>
              </w:rPr>
            </w:pPr>
            <w:r w:rsidRPr="0048117C">
              <w:rPr>
                <w:color w:val="000000"/>
                <w:sz w:val="26"/>
                <w:szCs w:val="26"/>
              </w:rPr>
              <w:t>2. Phân cấp thẩm quyền ban hành tiêu chuẩn, định mức sử dụng công trình sự nghiệp của đơn vị sự nghiệp công lập như sau:</w:t>
            </w:r>
          </w:p>
          <w:p w:rsidR="003F6183" w:rsidRPr="0048117C" w:rsidRDefault="003F6183" w:rsidP="0048117C">
            <w:pPr>
              <w:pStyle w:val="NormalWeb"/>
              <w:shd w:val="clear" w:color="auto" w:fill="FFFFFF"/>
              <w:spacing w:before="80" w:beforeAutospacing="0" w:after="0" w:afterAutospacing="0" w:line="340" w:lineRule="exact"/>
              <w:jc w:val="both"/>
              <w:rPr>
                <w:color w:val="000000"/>
                <w:sz w:val="26"/>
                <w:szCs w:val="26"/>
              </w:rPr>
            </w:pPr>
            <w:r w:rsidRPr="0048117C">
              <w:rPr>
                <w:color w:val="000000"/>
                <w:sz w:val="26"/>
                <w:szCs w:val="26"/>
              </w:rPr>
              <w:t>a) Các cơ quan, tổ chức, đơn vị thuộc tỉnh (đơn vị dự toán cấp I) ban hành tiêu chuẩn, định mức sử dụng công trình sự nghiệp của các đơn vị sự nghiệp công lập thuộc phạm vi quản lý.</w:t>
            </w:r>
          </w:p>
          <w:p w:rsidR="003F6183" w:rsidRPr="0048117C" w:rsidRDefault="003F6183" w:rsidP="0048117C">
            <w:pPr>
              <w:pStyle w:val="NormalWeb"/>
              <w:shd w:val="clear" w:color="auto" w:fill="FFFFFF"/>
              <w:spacing w:before="80" w:beforeAutospacing="0" w:after="0" w:afterAutospacing="0" w:line="340" w:lineRule="exact"/>
              <w:jc w:val="both"/>
              <w:rPr>
                <w:color w:val="000000"/>
                <w:sz w:val="26"/>
                <w:szCs w:val="26"/>
              </w:rPr>
            </w:pPr>
            <w:r w:rsidRPr="0048117C">
              <w:rPr>
                <w:color w:val="000000"/>
                <w:sz w:val="26"/>
                <w:szCs w:val="26"/>
              </w:rPr>
              <w:t>b) Sở Giáo dục và Đào tạo ban hành tiêu chuẩn, định mức sử dụng công trình sự nghiệp của đơn vị sự nghiệp công lập bao gồm: Cơ sở giáo dục mầm non, cơ sở giáo dục phổ thông, trung tâm giáo dục thường xuyên, trường chuyên biệt trực thuộc (không bao gồm các cơ sở đào tạo, cơ sở giáo dục nghề nghiệp).</w:t>
            </w:r>
          </w:p>
          <w:p w:rsidR="003F6183" w:rsidRPr="0048117C" w:rsidRDefault="003F6183" w:rsidP="0048117C">
            <w:pPr>
              <w:pStyle w:val="NormalWeb"/>
              <w:shd w:val="clear" w:color="auto" w:fill="FFFFFF"/>
              <w:spacing w:before="80" w:beforeAutospacing="0" w:after="0" w:afterAutospacing="0" w:line="340" w:lineRule="exact"/>
              <w:jc w:val="both"/>
              <w:rPr>
                <w:color w:val="000000"/>
                <w:sz w:val="26"/>
                <w:szCs w:val="26"/>
              </w:rPr>
            </w:pPr>
            <w:r w:rsidRPr="0048117C">
              <w:rPr>
                <w:color w:val="000000"/>
                <w:sz w:val="26"/>
                <w:szCs w:val="26"/>
              </w:rPr>
              <w:lastRenderedPageBreak/>
              <w:t>c) Sở Y tế ban hành tiêu chuẩn, định mức sử dụng công trình sự nghiệp của đơn vị sự nghiệp công lập thuộc lĩnh vực y tế.</w:t>
            </w:r>
          </w:p>
          <w:p w:rsidR="00763630" w:rsidRPr="0048117C" w:rsidRDefault="003F6183" w:rsidP="0048117C">
            <w:pPr>
              <w:pStyle w:val="NormalWeb"/>
              <w:shd w:val="clear" w:color="auto" w:fill="FFFFFF"/>
              <w:spacing w:before="80" w:beforeAutospacing="0" w:after="0" w:afterAutospacing="0" w:line="340" w:lineRule="exact"/>
              <w:jc w:val="both"/>
              <w:rPr>
                <w:color w:val="000000"/>
                <w:sz w:val="26"/>
                <w:szCs w:val="26"/>
              </w:rPr>
            </w:pPr>
            <w:r w:rsidRPr="0048117C">
              <w:rPr>
                <w:color w:val="000000"/>
                <w:sz w:val="26"/>
                <w:szCs w:val="26"/>
              </w:rPr>
              <w:t>d) UBND các huyện, thành phố, thị xã ban hành tiêu chuẩn, định mức sử dụng công trình sự nghiệp của đơn vị sự nghiệp công lập thuộc phạm vi quản lý (trừ quy định tại các điểm b, c khoản này).</w:t>
            </w:r>
          </w:p>
        </w:tc>
        <w:tc>
          <w:tcPr>
            <w:tcW w:w="4853" w:type="dxa"/>
          </w:tcPr>
          <w:p w:rsidR="0012299F" w:rsidRPr="0048117C" w:rsidRDefault="0012299F" w:rsidP="0048117C">
            <w:pPr>
              <w:pStyle w:val="NormalWeb"/>
              <w:shd w:val="clear" w:color="auto" w:fill="FFFFFF"/>
              <w:spacing w:before="80" w:beforeAutospacing="0" w:after="0" w:afterAutospacing="0" w:line="340" w:lineRule="exact"/>
              <w:jc w:val="both"/>
              <w:rPr>
                <w:b/>
                <w:sz w:val="26"/>
                <w:szCs w:val="26"/>
              </w:rPr>
            </w:pPr>
            <w:r w:rsidRPr="0048117C">
              <w:rPr>
                <w:b/>
                <w:color w:val="000000"/>
                <w:spacing w:val="2"/>
                <w:sz w:val="26"/>
                <w:szCs w:val="26"/>
              </w:rPr>
              <w:lastRenderedPageBreak/>
              <w:t>Điều 2. P</w:t>
            </w:r>
            <w:r w:rsidRPr="0048117C">
              <w:rPr>
                <w:b/>
                <w:color w:val="000000"/>
                <w:spacing w:val="-2"/>
                <w:sz w:val="26"/>
                <w:szCs w:val="26"/>
              </w:rPr>
              <w:t>hân cấp thẩm quyền quyết định tiêu chuẩn, định mức diện tích chuyên dùng của các cơ quan, tổ chức, đơn vị thuộc phạm vi quản lý của UBND tỉnh Sơn La</w:t>
            </w:r>
          </w:p>
          <w:p w:rsidR="0012299F" w:rsidRPr="0048117C" w:rsidRDefault="0012299F" w:rsidP="0048117C">
            <w:pPr>
              <w:pStyle w:val="NormalWeb"/>
              <w:shd w:val="clear" w:color="auto" w:fill="FFFFFF"/>
              <w:spacing w:before="80" w:beforeAutospacing="0" w:after="0" w:afterAutospacing="0" w:line="340" w:lineRule="exact"/>
              <w:jc w:val="both"/>
              <w:rPr>
                <w:sz w:val="26"/>
                <w:szCs w:val="26"/>
              </w:rPr>
            </w:pPr>
            <w:r w:rsidRPr="0048117C">
              <w:rPr>
                <w:sz w:val="26"/>
                <w:szCs w:val="26"/>
              </w:rPr>
              <w:t>1. Các đơn vị dự toán cấp I thuộc tỉnh quyết định đối với đơn vị dự toán thuộc phạm vi quản lý (trừ khoản 2 Điều này).</w:t>
            </w:r>
          </w:p>
          <w:p w:rsidR="0012299F" w:rsidRPr="0048117C" w:rsidRDefault="0012299F" w:rsidP="0048117C">
            <w:pPr>
              <w:pStyle w:val="NormalWeb"/>
              <w:shd w:val="clear" w:color="auto" w:fill="FFFFFF"/>
              <w:spacing w:before="80" w:beforeAutospacing="0" w:after="0" w:afterAutospacing="0" w:line="340" w:lineRule="exact"/>
              <w:jc w:val="both"/>
              <w:rPr>
                <w:sz w:val="26"/>
                <w:szCs w:val="26"/>
              </w:rPr>
            </w:pPr>
            <w:r w:rsidRPr="0048117C">
              <w:rPr>
                <w:color w:val="000000"/>
                <w:sz w:val="26"/>
                <w:szCs w:val="26"/>
              </w:rPr>
              <w:t xml:space="preserve">2. Sở Giáo dục và Đào tạo </w:t>
            </w:r>
            <w:r w:rsidRPr="0048117C">
              <w:rPr>
                <w:sz w:val="26"/>
                <w:szCs w:val="26"/>
              </w:rPr>
              <w:t>quyết định đối với các cơ sở giáo dục gồm: Cơ sở mầm non, cơ sở giáo dục phổ thông, trung tâm giáo dục thường xuyên, trường chuyên biệt trực thuộc.</w:t>
            </w:r>
          </w:p>
          <w:p w:rsidR="0012299F" w:rsidRPr="0048117C" w:rsidRDefault="0012299F" w:rsidP="0048117C">
            <w:pPr>
              <w:pStyle w:val="NormalWeb"/>
              <w:shd w:val="clear" w:color="auto" w:fill="FFFFFF"/>
              <w:spacing w:before="80" w:beforeAutospacing="0" w:after="0" w:afterAutospacing="0" w:line="340" w:lineRule="exact"/>
              <w:jc w:val="both"/>
              <w:rPr>
                <w:sz w:val="26"/>
                <w:szCs w:val="26"/>
              </w:rPr>
            </w:pPr>
            <w:r w:rsidRPr="0048117C">
              <w:rPr>
                <w:sz w:val="26"/>
                <w:szCs w:val="26"/>
              </w:rPr>
              <w:t xml:space="preserve">3. </w:t>
            </w:r>
            <w:r w:rsidRPr="0048117C">
              <w:rPr>
                <w:color w:val="000000"/>
                <w:sz w:val="26"/>
                <w:szCs w:val="26"/>
              </w:rPr>
              <w:t xml:space="preserve">UBND các xã, phường </w:t>
            </w:r>
            <w:r w:rsidRPr="0048117C">
              <w:rPr>
                <w:sz w:val="26"/>
                <w:szCs w:val="26"/>
              </w:rPr>
              <w:t>quyết định đối với các cơ quan, tổ chức, đơn vị thuộc phạm vi quản lý (trừ khoản 2 Điều này).</w:t>
            </w:r>
          </w:p>
          <w:p w:rsidR="00763630" w:rsidRPr="0048117C" w:rsidRDefault="00763630" w:rsidP="0048117C">
            <w:pPr>
              <w:spacing w:before="80" w:line="340" w:lineRule="exact"/>
              <w:jc w:val="both"/>
              <w:rPr>
                <w:rFonts w:ascii="Times New Roman" w:hAnsi="Times New Roman" w:cs="Times New Roman"/>
                <w:b/>
                <w:bCs/>
                <w:sz w:val="26"/>
                <w:szCs w:val="26"/>
                <w:lang w:val="en-US"/>
              </w:rPr>
            </w:pPr>
          </w:p>
        </w:tc>
        <w:tc>
          <w:tcPr>
            <w:tcW w:w="4820" w:type="dxa"/>
          </w:tcPr>
          <w:p w:rsidR="00141C9B" w:rsidRPr="0048117C" w:rsidRDefault="00C55942" w:rsidP="0048117C">
            <w:pPr>
              <w:pStyle w:val="NormalWeb"/>
              <w:shd w:val="clear" w:color="auto" w:fill="FFFFFF"/>
              <w:spacing w:before="80" w:beforeAutospacing="0" w:after="0" w:afterAutospacing="0" w:line="340" w:lineRule="exact"/>
              <w:jc w:val="both"/>
              <w:rPr>
                <w:bCs/>
                <w:spacing w:val="-4"/>
                <w:sz w:val="26"/>
                <w:szCs w:val="26"/>
              </w:rPr>
            </w:pPr>
            <w:r w:rsidRPr="0048117C">
              <w:rPr>
                <w:bCs/>
                <w:spacing w:val="-4"/>
                <w:sz w:val="26"/>
                <w:szCs w:val="26"/>
              </w:rPr>
              <w:t>Thay thế toàn bộ Điều 2. Lý do:</w:t>
            </w:r>
          </w:p>
          <w:p w:rsidR="00C55942" w:rsidRPr="0048117C" w:rsidRDefault="00C55942" w:rsidP="0048117C">
            <w:pPr>
              <w:pStyle w:val="NormalWeb"/>
              <w:shd w:val="clear" w:color="auto" w:fill="FFFFFF"/>
              <w:spacing w:before="80" w:beforeAutospacing="0" w:after="0" w:afterAutospacing="0" w:line="340" w:lineRule="exact"/>
              <w:jc w:val="both"/>
              <w:rPr>
                <w:spacing w:val="-2"/>
                <w:sz w:val="26"/>
                <w:szCs w:val="26"/>
              </w:rPr>
            </w:pPr>
            <w:r w:rsidRPr="0048117C">
              <w:rPr>
                <w:bCs/>
                <w:spacing w:val="-4"/>
                <w:sz w:val="26"/>
                <w:szCs w:val="26"/>
              </w:rPr>
              <w:t xml:space="preserve">- </w:t>
            </w:r>
            <w:r w:rsidR="002152DB" w:rsidRPr="0048117C">
              <w:rPr>
                <w:color w:val="000000"/>
                <w:spacing w:val="-2"/>
                <w:sz w:val="26"/>
                <w:szCs w:val="26"/>
              </w:rPr>
              <w:t xml:space="preserve">Tại </w:t>
            </w:r>
            <w:r w:rsidR="002152DB" w:rsidRPr="0048117C">
              <w:rPr>
                <w:spacing w:val="-2"/>
                <w:sz w:val="26"/>
                <w:szCs w:val="26"/>
              </w:rPr>
              <w:t xml:space="preserve">điểm đ khoản 2 Điều 7 </w:t>
            </w:r>
            <w:r w:rsidR="002152DB" w:rsidRPr="0048117C">
              <w:rPr>
                <w:color w:val="000000"/>
                <w:spacing w:val="-2"/>
                <w:sz w:val="26"/>
                <w:szCs w:val="26"/>
              </w:rPr>
              <w:t>Nghị định số 155/2025/NĐ-CP quy định: UBND tỉnh quyết định hoặc phân cấp thẩm quyền quyết định tiêu chuẩn, định mức diện tích chuyên dùng</w:t>
            </w:r>
            <w:r w:rsidR="002152DB" w:rsidRPr="0048117C">
              <w:rPr>
                <w:spacing w:val="-2"/>
                <w:sz w:val="26"/>
                <w:szCs w:val="26"/>
              </w:rPr>
              <w:t xml:space="preserve"> của các cơ quan, tổ chức</w:t>
            </w:r>
            <w:r w:rsidR="002152DB" w:rsidRPr="0048117C">
              <w:rPr>
                <w:color w:val="000000"/>
                <w:spacing w:val="-2"/>
                <w:sz w:val="26"/>
                <w:szCs w:val="26"/>
              </w:rPr>
              <w:t>. Do đó, Sở Tài chính đề xuất phân cấp thẩm quyền quyết định tiêu chuẩn, định mức diện tích chuyên dùng của các cơ quan, tổ chức, đơn vị đảm bảo phù hợp với Luật Tổ chức chính quyền địa phương</w:t>
            </w:r>
            <w:r w:rsidR="002152DB" w:rsidRPr="0048117C">
              <w:rPr>
                <w:spacing w:val="-2"/>
                <w:sz w:val="26"/>
                <w:szCs w:val="26"/>
              </w:rPr>
              <w:t xml:space="preserve">, </w:t>
            </w:r>
            <w:r w:rsidR="002152DB" w:rsidRPr="0048117C">
              <w:rPr>
                <w:color w:val="000000"/>
                <w:spacing w:val="-2"/>
                <w:sz w:val="26"/>
                <w:szCs w:val="26"/>
              </w:rPr>
              <w:t>Nghị quyết số 04/NQ-CP</w:t>
            </w:r>
            <w:r w:rsidR="002152DB" w:rsidRPr="0048117C">
              <w:rPr>
                <w:spacing w:val="-2"/>
                <w:sz w:val="26"/>
                <w:szCs w:val="26"/>
              </w:rPr>
              <w:t>, Quyết định số 608/QĐ-TTg, Kế hoạch số 106/KH-UBND ngày 18/04/2025</w:t>
            </w:r>
            <w:r w:rsidR="00CE0BFF" w:rsidRPr="0048117C">
              <w:rPr>
                <w:spacing w:val="-2"/>
                <w:sz w:val="26"/>
                <w:szCs w:val="26"/>
              </w:rPr>
              <w:t xml:space="preserve">l; UBND tỉnh không ban hành </w:t>
            </w:r>
            <w:r w:rsidR="003A68BB" w:rsidRPr="0048117C">
              <w:rPr>
                <w:color w:val="000000"/>
                <w:sz w:val="26"/>
                <w:szCs w:val="26"/>
              </w:rPr>
              <w:t xml:space="preserve">tiêu chuẩn định mức sử dụng diện tích chuyên dùng của </w:t>
            </w:r>
            <w:r w:rsidR="003A68BB" w:rsidRPr="0048117C">
              <w:rPr>
                <w:spacing w:val="-2"/>
                <w:sz w:val="26"/>
                <w:szCs w:val="26"/>
              </w:rPr>
              <w:t>các cơ quan, tổ chức theo quy định tại khoản 1 Điều 2 Quyết định số 38/2025/QĐ-UBND.</w:t>
            </w:r>
          </w:p>
          <w:p w:rsidR="001E23A0" w:rsidRPr="0048117C" w:rsidRDefault="002152DB" w:rsidP="0048117C">
            <w:pPr>
              <w:pStyle w:val="NormalWeb"/>
              <w:shd w:val="clear" w:color="auto" w:fill="FFFFFF"/>
              <w:spacing w:before="80" w:beforeAutospacing="0" w:after="0" w:afterAutospacing="0" w:line="340" w:lineRule="exact"/>
              <w:jc w:val="both"/>
              <w:rPr>
                <w:spacing w:val="-2"/>
                <w:sz w:val="26"/>
                <w:szCs w:val="26"/>
              </w:rPr>
            </w:pPr>
            <w:r w:rsidRPr="0048117C">
              <w:rPr>
                <w:spacing w:val="-2"/>
                <w:sz w:val="26"/>
                <w:szCs w:val="26"/>
              </w:rPr>
              <w:t xml:space="preserve">- Tại </w:t>
            </w:r>
            <w:r w:rsidR="001E23A0" w:rsidRPr="0048117C">
              <w:rPr>
                <w:bCs/>
                <w:color w:val="000000"/>
                <w:sz w:val="26"/>
                <w:szCs w:val="26"/>
                <w:shd w:val="clear" w:color="auto" w:fill="FFFFFF"/>
              </w:rPr>
              <w:t>Điều 12</w:t>
            </w:r>
            <w:r w:rsidR="001E23A0" w:rsidRPr="0048117C">
              <w:rPr>
                <w:spacing w:val="-2"/>
                <w:sz w:val="26"/>
                <w:szCs w:val="26"/>
              </w:rPr>
              <w:t xml:space="preserve"> Nghị định số 155/2025/NĐ-CP</w:t>
            </w:r>
            <w:r w:rsidR="00274021" w:rsidRPr="0048117C">
              <w:rPr>
                <w:spacing w:val="-2"/>
                <w:sz w:val="26"/>
                <w:szCs w:val="26"/>
              </w:rPr>
              <w:t xml:space="preserve"> quy định</w:t>
            </w:r>
            <w:r w:rsidR="001E23A0" w:rsidRPr="0048117C">
              <w:rPr>
                <w:spacing w:val="-2"/>
                <w:sz w:val="26"/>
                <w:szCs w:val="26"/>
              </w:rPr>
              <w:t xml:space="preserve"> </w:t>
            </w:r>
            <w:r w:rsidR="00BC4DBF" w:rsidRPr="0048117C">
              <w:rPr>
                <w:spacing w:val="-2"/>
                <w:sz w:val="26"/>
                <w:szCs w:val="26"/>
              </w:rPr>
              <w:t xml:space="preserve">UBND tỉnh không thực hiện phân cấp thẩm quyền ban hành tiêu chuẩn, định mức sử dụng công trình sự nghiệp của đơn vị sự nghiệp công lập mà sử dụng thẩm quyền được quy định tại khoản 2 Điều 11 Nghị định số 155/2025/NĐ-CP </w:t>
            </w:r>
            <w:r w:rsidR="00274021" w:rsidRPr="0048117C">
              <w:rPr>
                <w:spacing w:val="-2"/>
                <w:sz w:val="26"/>
                <w:szCs w:val="26"/>
              </w:rPr>
              <w:t xml:space="preserve">(thẩm quyền quyết định tiêu chuẩn, định mức sử dụng diện tích chuyên dùng của </w:t>
            </w:r>
            <w:r w:rsidR="00CE0BFF" w:rsidRPr="0048117C">
              <w:rPr>
                <w:spacing w:val="-2"/>
                <w:sz w:val="26"/>
                <w:szCs w:val="26"/>
              </w:rPr>
              <w:t xml:space="preserve">đơn vị sự nghiệp công lập </w:t>
            </w:r>
            <w:r w:rsidR="00BC4DBF" w:rsidRPr="0048117C">
              <w:rPr>
                <w:spacing w:val="-2"/>
                <w:sz w:val="26"/>
                <w:szCs w:val="26"/>
              </w:rPr>
              <w:t xml:space="preserve">để triển khai thực hiện. Do đó, nội </w:t>
            </w:r>
            <w:r w:rsidR="00BC4DBF" w:rsidRPr="0048117C">
              <w:rPr>
                <w:spacing w:val="-2"/>
                <w:sz w:val="26"/>
                <w:szCs w:val="26"/>
              </w:rPr>
              <w:lastRenderedPageBreak/>
              <w:t>dung quy định tại khoản 2 Điều 2 Quyết định số 38/2025/QĐ-UBND không phù hợp với quy định tại Nghị định số 155/2025/NĐ-CP.</w:t>
            </w:r>
            <w:r w:rsidR="003A68BB" w:rsidRPr="0048117C">
              <w:rPr>
                <w:spacing w:val="-2"/>
                <w:sz w:val="26"/>
                <w:szCs w:val="26"/>
              </w:rPr>
              <w:t xml:space="preserve"> </w:t>
            </w:r>
          </w:p>
          <w:p w:rsidR="002152DB" w:rsidRPr="0048117C" w:rsidRDefault="003A68BB" w:rsidP="0048117C">
            <w:pPr>
              <w:pStyle w:val="NormalWeb"/>
              <w:shd w:val="clear" w:color="auto" w:fill="FFFFFF"/>
              <w:spacing w:before="80" w:beforeAutospacing="0" w:after="0" w:afterAutospacing="0" w:line="340" w:lineRule="exact"/>
              <w:jc w:val="both"/>
              <w:rPr>
                <w:bCs/>
                <w:spacing w:val="-4"/>
                <w:sz w:val="26"/>
                <w:szCs w:val="26"/>
              </w:rPr>
            </w:pPr>
            <w:r w:rsidRPr="0048117C">
              <w:rPr>
                <w:spacing w:val="-2"/>
                <w:sz w:val="26"/>
                <w:szCs w:val="26"/>
              </w:rPr>
              <w:t xml:space="preserve">- </w:t>
            </w:r>
            <w:r w:rsidR="00B84191" w:rsidRPr="0048117C">
              <w:rPr>
                <w:spacing w:val="-2"/>
                <w:sz w:val="26"/>
                <w:szCs w:val="26"/>
              </w:rPr>
              <w:t>Đồng thời bổ sung</w:t>
            </w:r>
            <w:r w:rsidR="009771B4" w:rsidRPr="0048117C">
              <w:rPr>
                <w:spacing w:val="-2"/>
                <w:sz w:val="26"/>
                <w:szCs w:val="26"/>
              </w:rPr>
              <w:t xml:space="preserve"> quy định về</w:t>
            </w:r>
            <w:r w:rsidR="00B84191" w:rsidRPr="0048117C">
              <w:rPr>
                <w:spacing w:val="-2"/>
                <w:sz w:val="26"/>
                <w:szCs w:val="26"/>
              </w:rPr>
              <w:t xml:space="preserve"> phân cấp thẩm quyền quyết định tiêu chuẩn, định mức diện tích chuyên dùng của đơn vị sự nghiệp công lập</w:t>
            </w:r>
            <w:r w:rsidR="009771B4" w:rsidRPr="0048117C">
              <w:rPr>
                <w:spacing w:val="-2"/>
                <w:sz w:val="26"/>
                <w:szCs w:val="26"/>
              </w:rPr>
              <w:t xml:space="preserve"> theo quy định tại điểm đ khoản 2 Điều 11 Nghị định số 155/2025/NĐ-CP.</w:t>
            </w:r>
          </w:p>
        </w:tc>
      </w:tr>
      <w:tr w:rsidR="00763630" w:rsidRPr="0048117C" w:rsidTr="00E95DD1">
        <w:tc>
          <w:tcPr>
            <w:tcW w:w="4928" w:type="dxa"/>
          </w:tcPr>
          <w:p w:rsidR="009771B4" w:rsidRPr="0048117C" w:rsidRDefault="009771B4" w:rsidP="0048117C">
            <w:pPr>
              <w:pStyle w:val="NormalWeb"/>
              <w:shd w:val="clear" w:color="auto" w:fill="FFFFFF"/>
              <w:spacing w:before="80" w:beforeAutospacing="0" w:after="0" w:afterAutospacing="0" w:line="340" w:lineRule="exact"/>
              <w:jc w:val="both"/>
              <w:rPr>
                <w:color w:val="000000"/>
                <w:sz w:val="26"/>
                <w:szCs w:val="26"/>
              </w:rPr>
            </w:pPr>
            <w:bookmarkStart w:id="2" w:name="dieu_3"/>
            <w:r w:rsidRPr="0048117C">
              <w:rPr>
                <w:b/>
                <w:bCs/>
                <w:color w:val="000000"/>
                <w:sz w:val="26"/>
                <w:szCs w:val="26"/>
              </w:rPr>
              <w:lastRenderedPageBreak/>
              <w:t>Điều 3. Trách nhiệm của cơ quan nhà nước phân cấp và cơ quan nhà nước được phân cấp</w:t>
            </w:r>
            <w:bookmarkEnd w:id="2"/>
          </w:p>
          <w:p w:rsidR="009771B4" w:rsidRPr="0048117C" w:rsidRDefault="009771B4" w:rsidP="0048117C">
            <w:pPr>
              <w:pStyle w:val="NormalWeb"/>
              <w:shd w:val="clear" w:color="auto" w:fill="FFFFFF"/>
              <w:spacing w:before="80" w:beforeAutospacing="0" w:after="0" w:afterAutospacing="0" w:line="340" w:lineRule="exact"/>
              <w:jc w:val="both"/>
              <w:rPr>
                <w:color w:val="000000"/>
                <w:sz w:val="26"/>
                <w:szCs w:val="26"/>
              </w:rPr>
            </w:pPr>
            <w:r w:rsidRPr="0048117C">
              <w:rPr>
                <w:color w:val="000000"/>
                <w:sz w:val="26"/>
                <w:szCs w:val="26"/>
              </w:rPr>
              <w:t>1. UBND tỉnh (cơ quan phân cấp) giao Sở Tài chính: Hướng dẫn việc triển khai thực hiện quyết định ban hành tiêu chuẩn định mức sử dụng diện tích chuyên dùng thuộc trụ sở làm việc của cơ quan, tổ chức; phân cấp thẩm quyền ban hành tiêu chuẩn, định mức sử dụng công trình sự nghiệp của đơn vị sự nghiệp công lập.</w:t>
            </w:r>
          </w:p>
          <w:p w:rsidR="009771B4" w:rsidRPr="0048117C" w:rsidRDefault="009771B4" w:rsidP="0048117C">
            <w:pPr>
              <w:pStyle w:val="NormalWeb"/>
              <w:shd w:val="clear" w:color="auto" w:fill="FFFFFF"/>
              <w:spacing w:before="80" w:beforeAutospacing="0" w:after="0" w:afterAutospacing="0" w:line="340" w:lineRule="exact"/>
              <w:jc w:val="both"/>
              <w:rPr>
                <w:color w:val="000000"/>
                <w:sz w:val="26"/>
                <w:szCs w:val="26"/>
              </w:rPr>
            </w:pPr>
            <w:r w:rsidRPr="0048117C">
              <w:rPr>
                <w:color w:val="000000"/>
                <w:sz w:val="26"/>
                <w:szCs w:val="26"/>
              </w:rPr>
              <w:t>2. Cơ quan, tổ chức, đơn vị, UBND các huyện, thành phố, thị xã được phân cấp tại Điều 2 Quyết định này:</w:t>
            </w:r>
          </w:p>
          <w:p w:rsidR="009771B4" w:rsidRPr="0048117C" w:rsidRDefault="009771B4" w:rsidP="0048117C">
            <w:pPr>
              <w:pStyle w:val="NormalWeb"/>
              <w:shd w:val="clear" w:color="auto" w:fill="FFFFFF"/>
              <w:spacing w:before="80" w:beforeAutospacing="0" w:after="0" w:afterAutospacing="0" w:line="340" w:lineRule="exact"/>
              <w:jc w:val="both"/>
              <w:rPr>
                <w:color w:val="000000"/>
                <w:sz w:val="26"/>
                <w:szCs w:val="26"/>
              </w:rPr>
            </w:pPr>
            <w:r w:rsidRPr="0048117C">
              <w:rPr>
                <w:color w:val="000000"/>
                <w:sz w:val="26"/>
                <w:szCs w:val="26"/>
              </w:rPr>
              <w:t xml:space="preserve">- Căn cứ chức năng, nhiệm vụ và định hướng phát triển; cơ quan, tổ chức, đơn vị, UBND các huyện, thành phố, thị xã có trách nhiệm </w:t>
            </w:r>
            <w:r w:rsidRPr="0048117C">
              <w:rPr>
                <w:color w:val="000000"/>
                <w:sz w:val="26"/>
                <w:szCs w:val="26"/>
              </w:rPr>
              <w:lastRenderedPageBreak/>
              <w:t>ban hành tiêu chuẩn, định mức sử dụng công trình sự nghiệp của đơn vị sự nghiệp công lập theo quy định tại khoản 2 Điều 2 Quyết định này.</w:t>
            </w:r>
          </w:p>
          <w:p w:rsidR="009771B4" w:rsidRPr="0048117C" w:rsidRDefault="009771B4" w:rsidP="0048117C">
            <w:pPr>
              <w:pStyle w:val="NormalWeb"/>
              <w:shd w:val="clear" w:color="auto" w:fill="FFFFFF"/>
              <w:spacing w:before="80" w:beforeAutospacing="0" w:after="0" w:afterAutospacing="0" w:line="340" w:lineRule="exact"/>
              <w:jc w:val="both"/>
              <w:rPr>
                <w:color w:val="000000"/>
                <w:sz w:val="26"/>
                <w:szCs w:val="26"/>
              </w:rPr>
            </w:pPr>
            <w:r w:rsidRPr="0048117C">
              <w:rPr>
                <w:color w:val="000000"/>
                <w:sz w:val="26"/>
                <w:szCs w:val="26"/>
              </w:rPr>
              <w:t>- Trong thời gian Bộ Y tế chưa quy định chi tiết hướng dẫn về tiêu chuẩn, định mức sử dụng công trình sự nghiệp về y tế; Sở Y tế có trách nhiệm tổng hợp tham mưu trình UBND tỉnh xin ý kiến bằng văn bản của Bộ Y tế trước khi ban hành tiêu chuẩn, định mức sử dụng công trình sự nghiệp thuộc lĩnh vực y tế.</w:t>
            </w:r>
          </w:p>
          <w:p w:rsidR="00763630" w:rsidRPr="0048117C" w:rsidRDefault="009771B4" w:rsidP="0048117C">
            <w:pPr>
              <w:pStyle w:val="NormalWeb"/>
              <w:shd w:val="clear" w:color="auto" w:fill="FFFFFF"/>
              <w:spacing w:before="80" w:beforeAutospacing="0" w:after="0" w:afterAutospacing="0" w:line="340" w:lineRule="exact"/>
              <w:jc w:val="both"/>
              <w:rPr>
                <w:color w:val="000000"/>
                <w:sz w:val="26"/>
                <w:szCs w:val="26"/>
              </w:rPr>
            </w:pPr>
            <w:r w:rsidRPr="0048117C">
              <w:rPr>
                <w:color w:val="000000"/>
                <w:sz w:val="26"/>
                <w:szCs w:val="26"/>
              </w:rPr>
              <w:t>- Chịu trách nhiệm trước UBND tỉnh về quyết định ban hành tiêu chuẩn, định mức sử dụng công trình sự nghiệp của đơn vị sự nghiệp công lập thuộc phạm vi quản lý.</w:t>
            </w:r>
          </w:p>
        </w:tc>
        <w:tc>
          <w:tcPr>
            <w:tcW w:w="4853" w:type="dxa"/>
            <w:vAlign w:val="center"/>
          </w:tcPr>
          <w:p w:rsidR="00AA7087" w:rsidRPr="0048117C" w:rsidRDefault="00AA7087" w:rsidP="0048117C">
            <w:pPr>
              <w:spacing w:before="80" w:line="340" w:lineRule="exact"/>
              <w:jc w:val="both"/>
              <w:rPr>
                <w:rFonts w:ascii="Times New Roman" w:hAnsi="Times New Roman" w:cs="Times New Roman"/>
                <w:b/>
                <w:sz w:val="26"/>
                <w:szCs w:val="26"/>
              </w:rPr>
            </w:pPr>
            <w:r w:rsidRPr="0048117C">
              <w:rPr>
                <w:rFonts w:ascii="Times New Roman" w:hAnsi="Times New Roman" w:cs="Times New Roman"/>
                <w:b/>
                <w:sz w:val="26"/>
                <w:szCs w:val="26"/>
              </w:rPr>
              <w:lastRenderedPageBreak/>
              <w:t>Điều 3. Trách nhiệm thi hành</w:t>
            </w:r>
          </w:p>
          <w:p w:rsidR="00AA7087" w:rsidRPr="0048117C" w:rsidRDefault="00AA7087" w:rsidP="0048117C">
            <w:pPr>
              <w:spacing w:before="80" w:line="340" w:lineRule="exact"/>
              <w:jc w:val="both"/>
              <w:rPr>
                <w:rFonts w:ascii="Times New Roman" w:hAnsi="Times New Roman" w:cs="Times New Roman"/>
                <w:sz w:val="26"/>
                <w:szCs w:val="26"/>
              </w:rPr>
            </w:pPr>
            <w:r w:rsidRPr="0048117C">
              <w:rPr>
                <w:rFonts w:ascii="Times New Roman" w:hAnsi="Times New Roman" w:cs="Times New Roman"/>
                <w:sz w:val="26"/>
                <w:szCs w:val="26"/>
              </w:rPr>
              <w:t xml:space="preserve">1. Các cơ quan, tổ chức, đơn vị, UBND các xã, phường có trách nhiệm  thực hiện các nội dung được phân cấp theo quy định tại Điều 2 Quyết định này. </w:t>
            </w:r>
            <w:r w:rsidRPr="0048117C">
              <w:rPr>
                <w:rFonts w:ascii="Times New Roman" w:hAnsi="Times New Roman" w:cs="Times New Roman"/>
                <w:sz w:val="26"/>
                <w:szCs w:val="26"/>
                <w:lang w:val="af-ZA"/>
              </w:rPr>
              <w:t>Thường xuyên kiểm tra rà soát các nội dung được phân cấp đảm bảo tuân thủ theo quy định hiện hành.</w:t>
            </w:r>
          </w:p>
          <w:p w:rsidR="00AA7087" w:rsidRPr="0048117C" w:rsidRDefault="00AA7087" w:rsidP="0048117C">
            <w:pPr>
              <w:spacing w:before="80" w:line="340" w:lineRule="exact"/>
              <w:jc w:val="both"/>
              <w:rPr>
                <w:rFonts w:ascii="Times New Roman" w:hAnsi="Times New Roman" w:cs="Times New Roman"/>
                <w:sz w:val="26"/>
                <w:szCs w:val="26"/>
              </w:rPr>
            </w:pPr>
            <w:r w:rsidRPr="0048117C">
              <w:rPr>
                <w:rFonts w:ascii="Times New Roman" w:hAnsi="Times New Roman" w:cs="Times New Roman"/>
                <w:sz w:val="26"/>
                <w:szCs w:val="26"/>
              </w:rPr>
              <w:t>2. Thanh tra tỉnh tổ chức thanh tra việc tuân thủ quy định về phân cấp thẩm quyền được quy định tại Quyết định này. Xử lý theo thẩm quyền, hoặc báo cáo cơ quan, người có thẩm quyền xử lý vi phạm theo quy định của pháp luật.</w:t>
            </w:r>
          </w:p>
          <w:p w:rsidR="00763630" w:rsidRPr="0048117C" w:rsidRDefault="00AA7087" w:rsidP="0048117C">
            <w:pPr>
              <w:spacing w:before="80" w:line="340" w:lineRule="exact"/>
              <w:jc w:val="both"/>
              <w:rPr>
                <w:rFonts w:ascii="Times New Roman" w:hAnsi="Times New Roman" w:cs="Times New Roman"/>
                <w:sz w:val="26"/>
                <w:szCs w:val="26"/>
                <w:lang w:val="en-US"/>
              </w:rPr>
            </w:pPr>
            <w:r w:rsidRPr="0048117C">
              <w:rPr>
                <w:rFonts w:ascii="Times New Roman" w:hAnsi="Times New Roman" w:cs="Times New Roman"/>
                <w:sz w:val="26"/>
                <w:szCs w:val="26"/>
              </w:rPr>
              <w:t xml:space="preserve">3. Sở Tài chính có trách nhiệm quản lý, theo dõi, đánh giá việc thực hiện nhiệm vụ quyền hạn của các cơ quan, tổ chức, đơn vị, UBND các xã, phường được phân cấp. Kịp </w:t>
            </w:r>
            <w:r w:rsidRPr="0048117C">
              <w:rPr>
                <w:rFonts w:ascii="Times New Roman" w:hAnsi="Times New Roman" w:cs="Times New Roman"/>
                <w:sz w:val="26"/>
                <w:szCs w:val="26"/>
              </w:rPr>
              <w:lastRenderedPageBreak/>
              <w:t>thời tham mưu trình UBND tỉnh điều chỉnh quy định về phân cấp cho phù hợp với các quy định hiện hành.</w:t>
            </w:r>
          </w:p>
        </w:tc>
        <w:tc>
          <w:tcPr>
            <w:tcW w:w="4820" w:type="dxa"/>
            <w:vAlign w:val="center"/>
          </w:tcPr>
          <w:p w:rsidR="00763630" w:rsidRPr="0048117C" w:rsidRDefault="00CD0BCE" w:rsidP="0048117C">
            <w:pPr>
              <w:spacing w:before="80" w:line="340" w:lineRule="exact"/>
              <w:jc w:val="both"/>
              <w:rPr>
                <w:rFonts w:ascii="Times New Roman" w:hAnsi="Times New Roman" w:cs="Times New Roman"/>
                <w:bCs/>
                <w:sz w:val="26"/>
                <w:szCs w:val="26"/>
                <w:lang w:val="en-US"/>
              </w:rPr>
            </w:pPr>
            <w:r w:rsidRPr="0048117C">
              <w:rPr>
                <w:rFonts w:ascii="Times New Roman" w:hAnsi="Times New Roman" w:cs="Times New Roman"/>
                <w:bCs/>
                <w:sz w:val="26"/>
                <w:szCs w:val="26"/>
                <w:lang w:val="en-US"/>
              </w:rPr>
              <w:lastRenderedPageBreak/>
              <w:t>Thay thế toàn bộ Điều 3. Lý do:</w:t>
            </w:r>
          </w:p>
          <w:p w:rsidR="00886A90" w:rsidRPr="0048117C" w:rsidRDefault="00CD0BCE" w:rsidP="0048117C">
            <w:pPr>
              <w:spacing w:before="80" w:line="340" w:lineRule="exact"/>
              <w:jc w:val="both"/>
              <w:rPr>
                <w:rFonts w:ascii="Times New Roman" w:hAnsi="Times New Roman" w:cs="Times New Roman"/>
                <w:bCs/>
                <w:sz w:val="26"/>
                <w:szCs w:val="26"/>
                <w:lang w:val="en-US"/>
              </w:rPr>
            </w:pPr>
            <w:r w:rsidRPr="0048117C">
              <w:rPr>
                <w:rFonts w:ascii="Times New Roman" w:hAnsi="Times New Roman" w:cs="Times New Roman"/>
                <w:bCs/>
                <w:sz w:val="26"/>
                <w:szCs w:val="26"/>
                <w:lang w:val="en-US"/>
              </w:rPr>
              <w:t xml:space="preserve">- </w:t>
            </w:r>
            <w:r w:rsidR="008B154F" w:rsidRPr="0048117C">
              <w:rPr>
                <w:rFonts w:ascii="Times New Roman" w:hAnsi="Times New Roman" w:cs="Times New Roman"/>
                <w:bCs/>
                <w:sz w:val="26"/>
                <w:szCs w:val="26"/>
                <w:lang w:val="en-US"/>
              </w:rPr>
              <w:t>Quy định trách nhiệm thi hành đảm bảo quy định về trách nhiệm theo dõi, hướng dẫn, kiểm tra việc thực hiện nhiệm vụ, quyền hạn đã phân cấp, bảo đảm các nội dung phân cấp được thực hiện hiệu lực, hiệu quả theo quy định tại khoản 3 Điều 13 Luật Tổ chức Chính quyền địa phương số 72/2025/QH15.</w:t>
            </w:r>
          </w:p>
        </w:tc>
      </w:tr>
      <w:tr w:rsidR="00AA7087" w:rsidRPr="0048117C" w:rsidTr="00E95DD1">
        <w:tc>
          <w:tcPr>
            <w:tcW w:w="4928" w:type="dxa"/>
          </w:tcPr>
          <w:p w:rsidR="00AA7087" w:rsidRPr="0048117C" w:rsidRDefault="00AA7087" w:rsidP="0048117C">
            <w:pPr>
              <w:pStyle w:val="NormalWeb"/>
              <w:shd w:val="clear" w:color="auto" w:fill="FFFFFF"/>
              <w:spacing w:before="80" w:beforeAutospacing="0" w:after="0" w:afterAutospacing="0" w:line="340" w:lineRule="exact"/>
              <w:jc w:val="both"/>
              <w:rPr>
                <w:color w:val="000000"/>
                <w:sz w:val="26"/>
                <w:szCs w:val="26"/>
              </w:rPr>
            </w:pPr>
            <w:bookmarkStart w:id="3" w:name="dieu_4"/>
            <w:r w:rsidRPr="0048117C">
              <w:rPr>
                <w:b/>
                <w:bCs/>
                <w:color w:val="000000"/>
                <w:sz w:val="26"/>
                <w:szCs w:val="26"/>
              </w:rPr>
              <w:lastRenderedPageBreak/>
              <w:t>Điều 4. Quy định chuyển tiếp</w:t>
            </w:r>
            <w:bookmarkEnd w:id="3"/>
          </w:p>
          <w:p w:rsidR="00AA7087" w:rsidRPr="0048117C" w:rsidRDefault="00AA7087" w:rsidP="0048117C">
            <w:pPr>
              <w:pStyle w:val="NormalWeb"/>
              <w:shd w:val="clear" w:color="auto" w:fill="FFFFFF"/>
              <w:spacing w:before="80" w:beforeAutospacing="0" w:after="0" w:afterAutospacing="0" w:line="340" w:lineRule="exact"/>
              <w:jc w:val="both"/>
              <w:rPr>
                <w:b/>
                <w:bCs/>
                <w:color w:val="000000"/>
                <w:sz w:val="26"/>
                <w:szCs w:val="26"/>
              </w:rPr>
            </w:pPr>
            <w:r w:rsidRPr="0048117C">
              <w:rPr>
                <w:color w:val="000000"/>
                <w:sz w:val="26"/>
                <w:szCs w:val="26"/>
              </w:rPr>
              <w:t>Đối với dự án đầu tư xây dựng mới, cải tạo, nâng cấp trụ sở làm việc, cơ sở hoạt động sự nghiệp đã được cấp có thẩm quyền phê duyệt trước ngày Quyết định này có hiệu lực thi hành thì không xác định lại diện tích chuyên dùng theo quy định tại Quyết định này.</w:t>
            </w:r>
          </w:p>
        </w:tc>
        <w:tc>
          <w:tcPr>
            <w:tcW w:w="4853" w:type="dxa"/>
          </w:tcPr>
          <w:p w:rsidR="00AA7087" w:rsidRPr="0048117C" w:rsidRDefault="00AA7087" w:rsidP="0048117C">
            <w:pPr>
              <w:spacing w:before="80" w:line="340" w:lineRule="exact"/>
              <w:jc w:val="both"/>
              <w:rPr>
                <w:rFonts w:ascii="Times New Roman" w:hAnsi="Times New Roman" w:cs="Times New Roman"/>
                <w:szCs w:val="28"/>
                <w:lang w:val="en-US"/>
              </w:rPr>
            </w:pPr>
          </w:p>
        </w:tc>
        <w:tc>
          <w:tcPr>
            <w:tcW w:w="4820" w:type="dxa"/>
            <w:vAlign w:val="center"/>
          </w:tcPr>
          <w:p w:rsidR="0096679E" w:rsidRPr="0048117C" w:rsidRDefault="0096679E" w:rsidP="0048117C">
            <w:pPr>
              <w:spacing w:before="80" w:line="340" w:lineRule="exact"/>
              <w:jc w:val="both"/>
              <w:rPr>
                <w:rFonts w:ascii="Times New Roman" w:hAnsi="Times New Roman" w:cs="Times New Roman"/>
                <w:bCs/>
                <w:sz w:val="26"/>
                <w:szCs w:val="26"/>
                <w:lang w:val="en-US"/>
              </w:rPr>
            </w:pPr>
            <w:r w:rsidRPr="0048117C">
              <w:rPr>
                <w:rFonts w:ascii="Times New Roman" w:hAnsi="Times New Roman" w:cs="Times New Roman"/>
                <w:bCs/>
                <w:sz w:val="26"/>
                <w:szCs w:val="26"/>
                <w:lang w:val="en-US"/>
              </w:rPr>
              <w:t xml:space="preserve">Bỏ quy định tại Điều 4. Lý do: Quy định xử lý chuyển tiếp cụ thể đã được quy định tại </w:t>
            </w:r>
            <w:r w:rsidR="004156F3" w:rsidRPr="0048117C">
              <w:rPr>
                <w:rFonts w:ascii="Times New Roman" w:hAnsi="Times New Roman" w:cs="Times New Roman"/>
                <w:bCs/>
                <w:sz w:val="26"/>
                <w:szCs w:val="26"/>
                <w:lang w:val="en-US"/>
              </w:rPr>
              <w:t>Điều 14 Nghị định số 155/2025/NĐ-CP.</w:t>
            </w:r>
          </w:p>
        </w:tc>
      </w:tr>
      <w:tr w:rsidR="00763630" w:rsidRPr="0048117C" w:rsidTr="00E95DD1">
        <w:tc>
          <w:tcPr>
            <w:tcW w:w="4928" w:type="dxa"/>
          </w:tcPr>
          <w:p w:rsidR="006153A8" w:rsidRPr="0048117C" w:rsidRDefault="006153A8" w:rsidP="0048117C">
            <w:pPr>
              <w:pStyle w:val="NormalWeb"/>
              <w:shd w:val="clear" w:color="auto" w:fill="FFFFFF"/>
              <w:spacing w:before="80" w:beforeAutospacing="0" w:after="0" w:afterAutospacing="0" w:line="340" w:lineRule="exact"/>
              <w:jc w:val="both"/>
              <w:rPr>
                <w:color w:val="000000"/>
                <w:sz w:val="26"/>
                <w:szCs w:val="26"/>
              </w:rPr>
            </w:pPr>
            <w:bookmarkStart w:id="4" w:name="dieu_5"/>
            <w:r w:rsidRPr="0048117C">
              <w:rPr>
                <w:b/>
                <w:bCs/>
                <w:color w:val="000000"/>
                <w:sz w:val="26"/>
                <w:szCs w:val="26"/>
              </w:rPr>
              <w:t>Điều 5. Điều khoản thi hành</w:t>
            </w:r>
            <w:bookmarkEnd w:id="4"/>
          </w:p>
          <w:p w:rsidR="006153A8" w:rsidRPr="0048117C" w:rsidRDefault="006153A8" w:rsidP="0048117C">
            <w:pPr>
              <w:pStyle w:val="NormalWeb"/>
              <w:shd w:val="clear" w:color="auto" w:fill="FFFFFF"/>
              <w:spacing w:before="80" w:beforeAutospacing="0" w:after="0" w:afterAutospacing="0" w:line="340" w:lineRule="exact"/>
              <w:jc w:val="both"/>
              <w:rPr>
                <w:color w:val="000000"/>
                <w:sz w:val="26"/>
                <w:szCs w:val="26"/>
              </w:rPr>
            </w:pPr>
            <w:r w:rsidRPr="0048117C">
              <w:rPr>
                <w:color w:val="000000"/>
                <w:sz w:val="26"/>
                <w:szCs w:val="26"/>
              </w:rPr>
              <w:t>1. Quyết định này có hiệu lực từ ngày 18 tháng 4 năm 2025.</w:t>
            </w:r>
          </w:p>
          <w:p w:rsidR="00763630" w:rsidRPr="0048117C" w:rsidRDefault="006153A8" w:rsidP="0048117C">
            <w:pPr>
              <w:pStyle w:val="NormalWeb"/>
              <w:shd w:val="clear" w:color="auto" w:fill="FFFFFF"/>
              <w:spacing w:before="80" w:beforeAutospacing="0" w:after="0" w:afterAutospacing="0" w:line="340" w:lineRule="exact"/>
              <w:jc w:val="both"/>
              <w:rPr>
                <w:color w:val="000000"/>
                <w:sz w:val="26"/>
                <w:szCs w:val="26"/>
              </w:rPr>
            </w:pPr>
            <w:r w:rsidRPr="0048117C">
              <w:rPr>
                <w:color w:val="000000"/>
                <w:sz w:val="26"/>
                <w:szCs w:val="26"/>
              </w:rPr>
              <w:lastRenderedPageBreak/>
              <w:t>2. Bãi bỏ Quyết định số 41/2019/QĐ-UBND ngày 29 tháng 11 năm 2023 của UBND tỉnh về việc quy định tiêu chuẩn, định mức sử dụng diện tích chuyên dùng của cơ quan, tổ chức và diện tích công trình sự nghiệp của cơ sở hoạt động sự nghiệp.</w:t>
            </w:r>
          </w:p>
        </w:tc>
        <w:tc>
          <w:tcPr>
            <w:tcW w:w="4853" w:type="dxa"/>
          </w:tcPr>
          <w:p w:rsidR="00EB77A5" w:rsidRPr="0048117C" w:rsidRDefault="00EB77A5" w:rsidP="0048117C">
            <w:pPr>
              <w:spacing w:before="80" w:line="340" w:lineRule="exact"/>
              <w:jc w:val="both"/>
              <w:rPr>
                <w:rFonts w:ascii="Times New Roman" w:hAnsi="Times New Roman" w:cs="Times New Roman"/>
                <w:b/>
                <w:sz w:val="26"/>
                <w:szCs w:val="26"/>
              </w:rPr>
            </w:pPr>
            <w:r w:rsidRPr="0048117C">
              <w:rPr>
                <w:rFonts w:ascii="Times New Roman" w:hAnsi="Times New Roman" w:cs="Times New Roman"/>
                <w:b/>
                <w:sz w:val="26"/>
                <w:szCs w:val="26"/>
              </w:rPr>
              <w:lastRenderedPageBreak/>
              <w:t>Điều 4. Hiệu lực thi hành</w:t>
            </w:r>
          </w:p>
          <w:p w:rsidR="00EB77A5" w:rsidRPr="0048117C" w:rsidRDefault="00EB77A5" w:rsidP="0048117C">
            <w:pPr>
              <w:spacing w:before="80" w:line="340" w:lineRule="exact"/>
              <w:jc w:val="both"/>
              <w:rPr>
                <w:rFonts w:ascii="Times New Roman" w:hAnsi="Times New Roman" w:cs="Times New Roman"/>
                <w:sz w:val="26"/>
                <w:szCs w:val="26"/>
              </w:rPr>
            </w:pPr>
            <w:r w:rsidRPr="0048117C">
              <w:rPr>
                <w:rFonts w:ascii="Times New Roman" w:hAnsi="Times New Roman" w:cs="Times New Roman"/>
                <w:sz w:val="26"/>
                <w:szCs w:val="26"/>
              </w:rPr>
              <w:t>1. Quyết định này có hiệu lực từ ngày …./…./2025.</w:t>
            </w:r>
          </w:p>
          <w:p w:rsidR="00EB77A5" w:rsidRPr="0048117C" w:rsidRDefault="00EB77A5" w:rsidP="0048117C">
            <w:pPr>
              <w:spacing w:before="80" w:line="340" w:lineRule="exact"/>
              <w:jc w:val="both"/>
              <w:rPr>
                <w:rFonts w:ascii="Times New Roman" w:hAnsi="Times New Roman" w:cs="Times New Roman"/>
                <w:spacing w:val="-2"/>
                <w:sz w:val="26"/>
                <w:szCs w:val="26"/>
              </w:rPr>
            </w:pPr>
            <w:r w:rsidRPr="0048117C">
              <w:rPr>
                <w:rFonts w:ascii="Times New Roman" w:hAnsi="Times New Roman" w:cs="Times New Roman"/>
                <w:spacing w:val="-2"/>
                <w:sz w:val="26"/>
                <w:szCs w:val="26"/>
              </w:rPr>
              <w:lastRenderedPageBreak/>
              <w:t xml:space="preserve">2. </w:t>
            </w:r>
            <w:r w:rsidRPr="0048117C">
              <w:rPr>
                <w:rFonts w:ascii="Times New Roman" w:hAnsi="Times New Roman" w:cs="Times New Roman"/>
                <w:spacing w:val="-4"/>
                <w:sz w:val="26"/>
                <w:szCs w:val="26"/>
                <w:lang w:val="nl-NL"/>
              </w:rPr>
              <w:t>Quyết định số 38/2025/QĐ-</w:t>
            </w:r>
            <w:r w:rsidRPr="0048117C">
              <w:rPr>
                <w:rFonts w:ascii="Times New Roman" w:hAnsi="Times New Roman" w:cs="Times New Roman"/>
                <w:sz w:val="26"/>
                <w:szCs w:val="26"/>
              </w:rPr>
              <w:t xml:space="preserve">UBND ngày 08/4/2025 của UBND tỉnh ban hành tiêu chuẩn, định mức sử dụng diện tích chuyên dùng thuộc trụ sở làm việc của cơ quan, tổ chức và phân cấp thẩm quyền ban hành tiêu chuẩn, định mức sử dụng công trình sự nghiệp của đơn vị sự nghiệp công lập thuộc phạm vi quản lý của tỉnh Sơn La </w:t>
            </w:r>
            <w:r w:rsidRPr="0048117C">
              <w:rPr>
                <w:rFonts w:ascii="Times New Roman" w:hAnsi="Times New Roman" w:cs="Times New Roman"/>
                <w:spacing w:val="-2"/>
                <w:sz w:val="26"/>
                <w:szCs w:val="26"/>
              </w:rPr>
              <w:t>hết hiệu lực kể từ ngày quyết định này có hiệu lực thi hành.</w:t>
            </w:r>
          </w:p>
          <w:p w:rsidR="00763630" w:rsidRPr="0048117C" w:rsidRDefault="00EB77A5" w:rsidP="0048117C">
            <w:pPr>
              <w:spacing w:before="80" w:line="340" w:lineRule="exact"/>
              <w:jc w:val="both"/>
              <w:rPr>
                <w:rFonts w:ascii="Times New Roman" w:hAnsi="Times New Roman" w:cs="Times New Roman"/>
                <w:sz w:val="26"/>
                <w:szCs w:val="26"/>
                <w:lang w:val="en-US"/>
              </w:rPr>
            </w:pPr>
            <w:r w:rsidRPr="0048117C">
              <w:rPr>
                <w:rFonts w:ascii="Times New Roman" w:hAnsi="Times New Roman" w:cs="Times New Roman"/>
                <w:sz w:val="26"/>
                <w:szCs w:val="26"/>
              </w:rPr>
              <w:t>3. Chánh Văn phòng UBND tỉnh; Giám đốc sở, ban, ngành; Chủ tịch UBND các xã, phường; Thủ trưởng các cơ quan, tổ chức, đơn vị có liên quan chịu trách nhiệm thi hành quyết định này./.</w:t>
            </w:r>
          </w:p>
        </w:tc>
        <w:tc>
          <w:tcPr>
            <w:tcW w:w="4820" w:type="dxa"/>
            <w:vAlign w:val="center"/>
          </w:tcPr>
          <w:p w:rsidR="00C163D9" w:rsidRPr="0048117C" w:rsidRDefault="00E22D01" w:rsidP="0048117C">
            <w:pPr>
              <w:spacing w:before="80" w:line="340" w:lineRule="exact"/>
              <w:jc w:val="both"/>
              <w:rPr>
                <w:rFonts w:ascii="Times New Roman" w:hAnsi="Times New Roman" w:cs="Times New Roman"/>
                <w:bCs/>
                <w:sz w:val="26"/>
                <w:szCs w:val="26"/>
                <w:lang w:val="en-US"/>
              </w:rPr>
            </w:pPr>
            <w:r w:rsidRPr="0048117C">
              <w:rPr>
                <w:rFonts w:ascii="Times New Roman" w:hAnsi="Times New Roman" w:cs="Times New Roman"/>
                <w:bCs/>
                <w:sz w:val="26"/>
                <w:szCs w:val="26"/>
                <w:lang w:val="en-US"/>
              </w:rPr>
              <w:lastRenderedPageBreak/>
              <w:t xml:space="preserve">Kế thừa </w:t>
            </w:r>
            <w:r w:rsidR="00C163D9" w:rsidRPr="0048117C">
              <w:rPr>
                <w:rFonts w:ascii="Times New Roman" w:hAnsi="Times New Roman" w:cs="Times New Roman"/>
                <w:bCs/>
                <w:sz w:val="26"/>
                <w:szCs w:val="26"/>
                <w:lang w:val="en-US"/>
              </w:rPr>
              <w:t>thể thức</w:t>
            </w:r>
            <w:r w:rsidR="0048117C" w:rsidRPr="0048117C">
              <w:rPr>
                <w:rFonts w:ascii="Times New Roman" w:hAnsi="Times New Roman" w:cs="Times New Roman"/>
                <w:bCs/>
                <w:sz w:val="26"/>
                <w:szCs w:val="26"/>
                <w:lang w:val="en-US"/>
              </w:rPr>
              <w:t>, kỹ thuật</w:t>
            </w:r>
            <w:r w:rsidRPr="0048117C">
              <w:rPr>
                <w:rFonts w:ascii="Times New Roman" w:hAnsi="Times New Roman" w:cs="Times New Roman"/>
                <w:bCs/>
                <w:sz w:val="26"/>
                <w:szCs w:val="26"/>
                <w:lang w:val="en-US"/>
              </w:rPr>
              <w:t xml:space="preserve"> </w:t>
            </w:r>
            <w:r w:rsidR="00C163D9" w:rsidRPr="0048117C">
              <w:rPr>
                <w:rFonts w:ascii="Times New Roman" w:hAnsi="Times New Roman" w:cs="Times New Roman"/>
                <w:bCs/>
                <w:sz w:val="26"/>
                <w:szCs w:val="26"/>
                <w:lang w:val="en-US"/>
              </w:rPr>
              <w:t xml:space="preserve">trình bày </w:t>
            </w:r>
            <w:r w:rsidRPr="0048117C">
              <w:rPr>
                <w:rFonts w:ascii="Times New Roman" w:hAnsi="Times New Roman" w:cs="Times New Roman"/>
                <w:bCs/>
                <w:sz w:val="26"/>
                <w:szCs w:val="26"/>
                <w:lang w:val="en-US"/>
              </w:rPr>
              <w:t xml:space="preserve">còn phù hợp và sửa đổi các nội dung </w:t>
            </w:r>
            <w:r w:rsidR="00C163D9" w:rsidRPr="0048117C">
              <w:rPr>
                <w:rFonts w:ascii="Times New Roman" w:hAnsi="Times New Roman" w:cs="Times New Roman"/>
                <w:bCs/>
                <w:sz w:val="26"/>
                <w:szCs w:val="26"/>
                <w:lang w:val="en-US"/>
              </w:rPr>
              <w:t>không còn phù hợp.</w:t>
            </w:r>
          </w:p>
        </w:tc>
      </w:tr>
      <w:tr w:rsidR="006153A8" w:rsidRPr="0048117C" w:rsidTr="00E95DD1">
        <w:tc>
          <w:tcPr>
            <w:tcW w:w="4928" w:type="dxa"/>
          </w:tcPr>
          <w:p w:rsidR="006153A8" w:rsidRPr="0048117C" w:rsidRDefault="006153A8" w:rsidP="0048117C">
            <w:pPr>
              <w:pStyle w:val="NormalWeb"/>
              <w:shd w:val="clear" w:color="auto" w:fill="FFFFFF"/>
              <w:spacing w:before="80" w:beforeAutospacing="0" w:after="0" w:afterAutospacing="0" w:line="340" w:lineRule="exact"/>
              <w:jc w:val="both"/>
              <w:rPr>
                <w:color w:val="000000"/>
                <w:sz w:val="26"/>
                <w:szCs w:val="26"/>
              </w:rPr>
            </w:pPr>
            <w:bookmarkStart w:id="5" w:name="dieu_6"/>
            <w:r w:rsidRPr="0048117C">
              <w:rPr>
                <w:b/>
                <w:bCs/>
                <w:color w:val="000000"/>
                <w:sz w:val="26"/>
                <w:szCs w:val="26"/>
              </w:rPr>
              <w:lastRenderedPageBreak/>
              <w:t>Điều 6. Trách nhiệm thi hành</w:t>
            </w:r>
            <w:bookmarkEnd w:id="5"/>
          </w:p>
          <w:p w:rsidR="006153A8" w:rsidRPr="0048117C" w:rsidRDefault="006153A8" w:rsidP="0048117C">
            <w:pPr>
              <w:pStyle w:val="NormalWeb"/>
              <w:shd w:val="clear" w:color="auto" w:fill="FFFFFF"/>
              <w:spacing w:before="80" w:beforeAutospacing="0" w:after="0" w:afterAutospacing="0" w:line="340" w:lineRule="exact"/>
              <w:jc w:val="both"/>
              <w:rPr>
                <w:color w:val="000000"/>
                <w:sz w:val="26"/>
                <w:szCs w:val="26"/>
              </w:rPr>
            </w:pPr>
            <w:r w:rsidRPr="0048117C">
              <w:rPr>
                <w:color w:val="000000"/>
                <w:sz w:val="26"/>
                <w:szCs w:val="26"/>
              </w:rPr>
              <w:t>Chánh Văn phòng UBND tỉnh; Giám đốc Sở Tài chính; Thủ trưởng các sở, ban, ngành; Chủ tịch UBND các huyện, thành phố, thị xã; Thủ trưởng các cơ quan, tổ chức, đơn vị có liên quan chịu trách nhiệm thi hành quyết định này./.</w:t>
            </w:r>
          </w:p>
        </w:tc>
        <w:tc>
          <w:tcPr>
            <w:tcW w:w="4853" w:type="dxa"/>
          </w:tcPr>
          <w:p w:rsidR="006153A8" w:rsidRPr="0048117C" w:rsidRDefault="006153A8" w:rsidP="0048117C">
            <w:pPr>
              <w:spacing w:before="80" w:line="340" w:lineRule="exact"/>
              <w:jc w:val="both"/>
              <w:rPr>
                <w:rFonts w:ascii="Times New Roman" w:hAnsi="Times New Roman" w:cs="Times New Roman"/>
                <w:szCs w:val="28"/>
                <w:lang w:val="en-US"/>
              </w:rPr>
            </w:pPr>
          </w:p>
        </w:tc>
        <w:tc>
          <w:tcPr>
            <w:tcW w:w="4820" w:type="dxa"/>
            <w:vAlign w:val="center"/>
          </w:tcPr>
          <w:p w:rsidR="006153A8" w:rsidRPr="002C0600" w:rsidRDefault="0048117C" w:rsidP="002C0600">
            <w:pPr>
              <w:spacing w:before="80" w:line="340" w:lineRule="exact"/>
              <w:jc w:val="both"/>
              <w:rPr>
                <w:rFonts w:ascii="Times New Roman" w:hAnsi="Times New Roman" w:cs="Times New Roman"/>
                <w:bCs/>
                <w:spacing w:val="-6"/>
                <w:sz w:val="26"/>
                <w:szCs w:val="26"/>
                <w:lang w:val="en-US"/>
              </w:rPr>
            </w:pPr>
            <w:r w:rsidRPr="002C0600">
              <w:rPr>
                <w:rFonts w:ascii="Times New Roman" w:hAnsi="Times New Roman" w:cs="Times New Roman"/>
                <w:bCs/>
                <w:spacing w:val="-6"/>
                <w:sz w:val="26"/>
                <w:szCs w:val="26"/>
                <w:lang w:val="en-US"/>
              </w:rPr>
              <w:t xml:space="preserve">Đề nghị bỏ, do đã quy định tại Điều </w:t>
            </w:r>
            <w:r w:rsidR="002C0600" w:rsidRPr="002C0600">
              <w:rPr>
                <w:rFonts w:ascii="Times New Roman" w:hAnsi="Times New Roman" w:cs="Times New Roman"/>
                <w:bCs/>
                <w:spacing w:val="-6"/>
                <w:sz w:val="26"/>
                <w:szCs w:val="26"/>
                <w:lang w:val="en-US"/>
              </w:rPr>
              <w:t>3, Điều 4</w:t>
            </w:r>
            <w:r w:rsidRPr="002C0600">
              <w:rPr>
                <w:rFonts w:ascii="Times New Roman" w:hAnsi="Times New Roman" w:cs="Times New Roman"/>
                <w:bCs/>
                <w:spacing w:val="-6"/>
                <w:sz w:val="26"/>
                <w:szCs w:val="26"/>
                <w:lang w:val="en-US"/>
              </w:rPr>
              <w:t>.</w:t>
            </w:r>
          </w:p>
        </w:tc>
      </w:tr>
    </w:tbl>
    <w:p w:rsidR="00562347" w:rsidRPr="0048117C" w:rsidRDefault="00562347" w:rsidP="0048117C">
      <w:pPr>
        <w:spacing w:before="80" w:line="340" w:lineRule="exact"/>
        <w:jc w:val="both"/>
        <w:rPr>
          <w:rFonts w:ascii="Times New Roman" w:hAnsi="Times New Roman" w:cs="Times New Roman"/>
          <w:b/>
          <w:bCs/>
          <w:sz w:val="28"/>
          <w:szCs w:val="28"/>
          <w:lang w:val="en-US"/>
        </w:rPr>
      </w:pPr>
    </w:p>
    <w:p w:rsidR="00AA7087" w:rsidRPr="0048117C" w:rsidRDefault="00AA7087" w:rsidP="0048117C">
      <w:pPr>
        <w:spacing w:before="80" w:line="340" w:lineRule="exact"/>
        <w:jc w:val="both"/>
        <w:rPr>
          <w:rFonts w:ascii="Times New Roman" w:hAnsi="Times New Roman" w:cs="Times New Roman"/>
          <w:b/>
          <w:bCs/>
          <w:sz w:val="28"/>
          <w:szCs w:val="28"/>
          <w:lang w:val="en-US"/>
        </w:rPr>
      </w:pPr>
    </w:p>
    <w:sectPr w:rsidR="00AA7087" w:rsidRPr="0048117C" w:rsidSect="00BA0D31">
      <w:headerReference w:type="default" r:id="rId10"/>
      <w:pgSz w:w="16840" w:h="11907" w:orient="landscape" w:code="9"/>
      <w:pgMar w:top="851" w:right="1134" w:bottom="851"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92C" w:rsidRDefault="0070792C" w:rsidP="00CE16B1">
      <w:r>
        <w:separator/>
      </w:r>
    </w:p>
  </w:endnote>
  <w:endnote w:type="continuationSeparator" w:id="1">
    <w:p w:rsidR="0070792C" w:rsidRDefault="0070792C" w:rsidP="00CE16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92C" w:rsidRDefault="0070792C" w:rsidP="00CE16B1">
      <w:r>
        <w:separator/>
      </w:r>
    </w:p>
  </w:footnote>
  <w:footnote w:type="continuationSeparator" w:id="1">
    <w:p w:rsidR="0070792C" w:rsidRDefault="0070792C" w:rsidP="00CE16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335299"/>
      <w:docPartObj>
        <w:docPartGallery w:val="Page Numbers (Top of Page)"/>
        <w:docPartUnique/>
      </w:docPartObj>
    </w:sdtPr>
    <w:sdtEndPr>
      <w:rPr>
        <w:rFonts w:ascii="Times New Roman" w:hAnsi="Times New Roman" w:cs="Times New Roman"/>
        <w:noProof/>
        <w:sz w:val="26"/>
        <w:szCs w:val="26"/>
      </w:rPr>
    </w:sdtEndPr>
    <w:sdtContent>
      <w:p w:rsidR="00CE0BFF" w:rsidRPr="005B6B37" w:rsidRDefault="00CE0BFF" w:rsidP="00554853">
        <w:pPr>
          <w:pStyle w:val="Header"/>
          <w:jc w:val="center"/>
          <w:rPr>
            <w:rFonts w:ascii="Times New Roman" w:hAnsi="Times New Roman" w:cs="Times New Roman"/>
            <w:sz w:val="26"/>
            <w:szCs w:val="26"/>
          </w:rPr>
        </w:pPr>
        <w:r w:rsidRPr="005B6B37">
          <w:rPr>
            <w:rFonts w:ascii="Times New Roman" w:hAnsi="Times New Roman" w:cs="Times New Roman"/>
            <w:sz w:val="26"/>
            <w:szCs w:val="26"/>
          </w:rPr>
          <w:fldChar w:fldCharType="begin"/>
        </w:r>
        <w:r w:rsidRPr="005B6B37">
          <w:rPr>
            <w:rFonts w:ascii="Times New Roman" w:hAnsi="Times New Roman" w:cs="Times New Roman"/>
            <w:sz w:val="26"/>
            <w:szCs w:val="26"/>
          </w:rPr>
          <w:instrText xml:space="preserve"> PAGE   \* MERGEFORMAT </w:instrText>
        </w:r>
        <w:r w:rsidRPr="005B6B37">
          <w:rPr>
            <w:rFonts w:ascii="Times New Roman" w:hAnsi="Times New Roman" w:cs="Times New Roman"/>
            <w:sz w:val="26"/>
            <w:szCs w:val="26"/>
          </w:rPr>
          <w:fldChar w:fldCharType="separate"/>
        </w:r>
        <w:r w:rsidR="002C0600">
          <w:rPr>
            <w:rFonts w:ascii="Times New Roman" w:hAnsi="Times New Roman" w:cs="Times New Roman"/>
            <w:noProof/>
            <w:sz w:val="26"/>
            <w:szCs w:val="26"/>
          </w:rPr>
          <w:t>6</w:t>
        </w:r>
        <w:r w:rsidRPr="005B6B37">
          <w:rPr>
            <w:rFonts w:ascii="Times New Roman" w:hAnsi="Times New Roman" w:cs="Times New Roman"/>
            <w:sz w:val="26"/>
            <w:szCs w:val="26"/>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82ED3"/>
    <w:multiLevelType w:val="hybridMultilevel"/>
    <w:tmpl w:val="8236E962"/>
    <w:lvl w:ilvl="0" w:tplc="88C68A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D84719"/>
    <w:multiLevelType w:val="hybridMultilevel"/>
    <w:tmpl w:val="B522740E"/>
    <w:lvl w:ilvl="0" w:tplc="9A44B47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922FE3"/>
    <w:multiLevelType w:val="hybridMultilevel"/>
    <w:tmpl w:val="D8142F0E"/>
    <w:lvl w:ilvl="0" w:tplc="12B02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A791B"/>
    <w:rsid w:val="00007B8D"/>
    <w:rsid w:val="000108D1"/>
    <w:rsid w:val="000153F4"/>
    <w:rsid w:val="00017073"/>
    <w:rsid w:val="000200DB"/>
    <w:rsid w:val="00022B06"/>
    <w:rsid w:val="00037CE5"/>
    <w:rsid w:val="000408B9"/>
    <w:rsid w:val="00050180"/>
    <w:rsid w:val="0006163A"/>
    <w:rsid w:val="00067C20"/>
    <w:rsid w:val="00073FC6"/>
    <w:rsid w:val="00081900"/>
    <w:rsid w:val="00082C74"/>
    <w:rsid w:val="000A42E1"/>
    <w:rsid w:val="000C5AC8"/>
    <w:rsid w:val="000D1253"/>
    <w:rsid w:val="000F0FD5"/>
    <w:rsid w:val="001043E5"/>
    <w:rsid w:val="00111FF1"/>
    <w:rsid w:val="0012056B"/>
    <w:rsid w:val="0012299F"/>
    <w:rsid w:val="001371FB"/>
    <w:rsid w:val="001376DC"/>
    <w:rsid w:val="00141C9B"/>
    <w:rsid w:val="001455DC"/>
    <w:rsid w:val="00145E1F"/>
    <w:rsid w:val="00153FF9"/>
    <w:rsid w:val="001732DF"/>
    <w:rsid w:val="001745AD"/>
    <w:rsid w:val="001C24A5"/>
    <w:rsid w:val="001D01E5"/>
    <w:rsid w:val="001D231D"/>
    <w:rsid w:val="001E23A0"/>
    <w:rsid w:val="002117CA"/>
    <w:rsid w:val="002149F0"/>
    <w:rsid w:val="002152DB"/>
    <w:rsid w:val="002357A0"/>
    <w:rsid w:val="00240B8C"/>
    <w:rsid w:val="0026714D"/>
    <w:rsid w:val="00274021"/>
    <w:rsid w:val="00293C11"/>
    <w:rsid w:val="002B4598"/>
    <w:rsid w:val="002B6339"/>
    <w:rsid w:val="002C0600"/>
    <w:rsid w:val="002F0997"/>
    <w:rsid w:val="002F37E3"/>
    <w:rsid w:val="00321959"/>
    <w:rsid w:val="003344A8"/>
    <w:rsid w:val="003519E6"/>
    <w:rsid w:val="0035372D"/>
    <w:rsid w:val="00363F47"/>
    <w:rsid w:val="00387A75"/>
    <w:rsid w:val="003A68BB"/>
    <w:rsid w:val="003B5F4C"/>
    <w:rsid w:val="003B71FF"/>
    <w:rsid w:val="003C10D1"/>
    <w:rsid w:val="003D2F65"/>
    <w:rsid w:val="003E21BF"/>
    <w:rsid w:val="003E62E9"/>
    <w:rsid w:val="003F34B3"/>
    <w:rsid w:val="003F6183"/>
    <w:rsid w:val="00400B81"/>
    <w:rsid w:val="00403A13"/>
    <w:rsid w:val="004156F3"/>
    <w:rsid w:val="00420D43"/>
    <w:rsid w:val="004221CA"/>
    <w:rsid w:val="00447C89"/>
    <w:rsid w:val="00447C95"/>
    <w:rsid w:val="004545ED"/>
    <w:rsid w:val="00457C51"/>
    <w:rsid w:val="00466BFA"/>
    <w:rsid w:val="004675F8"/>
    <w:rsid w:val="0048117C"/>
    <w:rsid w:val="004A6C94"/>
    <w:rsid w:val="004B1EB0"/>
    <w:rsid w:val="004B3A1B"/>
    <w:rsid w:val="004B6AB2"/>
    <w:rsid w:val="004B706E"/>
    <w:rsid w:val="004D2969"/>
    <w:rsid w:val="004D6763"/>
    <w:rsid w:val="004E2923"/>
    <w:rsid w:val="005022B1"/>
    <w:rsid w:val="00514748"/>
    <w:rsid w:val="00530282"/>
    <w:rsid w:val="00530F92"/>
    <w:rsid w:val="0054398C"/>
    <w:rsid w:val="00554853"/>
    <w:rsid w:val="00562347"/>
    <w:rsid w:val="005A48E7"/>
    <w:rsid w:val="005A4C47"/>
    <w:rsid w:val="005A5283"/>
    <w:rsid w:val="005B3F46"/>
    <w:rsid w:val="005B6B37"/>
    <w:rsid w:val="005D05AC"/>
    <w:rsid w:val="005E2F2A"/>
    <w:rsid w:val="005F132C"/>
    <w:rsid w:val="006042AF"/>
    <w:rsid w:val="006153A8"/>
    <w:rsid w:val="0061674B"/>
    <w:rsid w:val="006223F4"/>
    <w:rsid w:val="00625700"/>
    <w:rsid w:val="006302C6"/>
    <w:rsid w:val="0064099C"/>
    <w:rsid w:val="00656FC3"/>
    <w:rsid w:val="006607D1"/>
    <w:rsid w:val="00680846"/>
    <w:rsid w:val="006960D3"/>
    <w:rsid w:val="006A31DF"/>
    <w:rsid w:val="006A4825"/>
    <w:rsid w:val="006B6310"/>
    <w:rsid w:val="006C0982"/>
    <w:rsid w:val="006D586F"/>
    <w:rsid w:val="006D6AEE"/>
    <w:rsid w:val="006E2B4F"/>
    <w:rsid w:val="0070792C"/>
    <w:rsid w:val="007142AA"/>
    <w:rsid w:val="007167EF"/>
    <w:rsid w:val="00730A94"/>
    <w:rsid w:val="00743720"/>
    <w:rsid w:val="00754FFD"/>
    <w:rsid w:val="00763630"/>
    <w:rsid w:val="00774E1C"/>
    <w:rsid w:val="00783800"/>
    <w:rsid w:val="007B3B1A"/>
    <w:rsid w:val="007C0995"/>
    <w:rsid w:val="007E5362"/>
    <w:rsid w:val="007E5905"/>
    <w:rsid w:val="007F302C"/>
    <w:rsid w:val="00802105"/>
    <w:rsid w:val="008064F6"/>
    <w:rsid w:val="00827820"/>
    <w:rsid w:val="00833121"/>
    <w:rsid w:val="008431D4"/>
    <w:rsid w:val="00852C8B"/>
    <w:rsid w:val="008636C4"/>
    <w:rsid w:val="00865386"/>
    <w:rsid w:val="008677E2"/>
    <w:rsid w:val="00874914"/>
    <w:rsid w:val="0087731F"/>
    <w:rsid w:val="00884F94"/>
    <w:rsid w:val="00886690"/>
    <w:rsid w:val="00886A90"/>
    <w:rsid w:val="008A4DE0"/>
    <w:rsid w:val="008B154F"/>
    <w:rsid w:val="008F4952"/>
    <w:rsid w:val="0090760B"/>
    <w:rsid w:val="00917385"/>
    <w:rsid w:val="00923C2A"/>
    <w:rsid w:val="00926B4E"/>
    <w:rsid w:val="00932037"/>
    <w:rsid w:val="009372E7"/>
    <w:rsid w:val="00952548"/>
    <w:rsid w:val="0096037F"/>
    <w:rsid w:val="0096679E"/>
    <w:rsid w:val="00966E68"/>
    <w:rsid w:val="009726F7"/>
    <w:rsid w:val="009771B4"/>
    <w:rsid w:val="00985C87"/>
    <w:rsid w:val="00997DAC"/>
    <w:rsid w:val="009A09B5"/>
    <w:rsid w:val="009C2FD6"/>
    <w:rsid w:val="009E05AE"/>
    <w:rsid w:val="009E2851"/>
    <w:rsid w:val="00A3358A"/>
    <w:rsid w:val="00A33D6D"/>
    <w:rsid w:val="00A448BF"/>
    <w:rsid w:val="00A47F45"/>
    <w:rsid w:val="00A64D02"/>
    <w:rsid w:val="00AA224D"/>
    <w:rsid w:val="00AA3F44"/>
    <w:rsid w:val="00AA3FE8"/>
    <w:rsid w:val="00AA7087"/>
    <w:rsid w:val="00AC4E5A"/>
    <w:rsid w:val="00AF00FC"/>
    <w:rsid w:val="00AF51D1"/>
    <w:rsid w:val="00B01C7E"/>
    <w:rsid w:val="00B045A1"/>
    <w:rsid w:val="00B05CA6"/>
    <w:rsid w:val="00B13884"/>
    <w:rsid w:val="00B15DDD"/>
    <w:rsid w:val="00B3677F"/>
    <w:rsid w:val="00B45A3E"/>
    <w:rsid w:val="00B509E1"/>
    <w:rsid w:val="00B62733"/>
    <w:rsid w:val="00B63C2B"/>
    <w:rsid w:val="00B722D4"/>
    <w:rsid w:val="00B738AD"/>
    <w:rsid w:val="00B84191"/>
    <w:rsid w:val="00B92563"/>
    <w:rsid w:val="00B92E6D"/>
    <w:rsid w:val="00BA0D31"/>
    <w:rsid w:val="00BC3E6F"/>
    <w:rsid w:val="00BC4DBF"/>
    <w:rsid w:val="00BD381B"/>
    <w:rsid w:val="00BD7562"/>
    <w:rsid w:val="00BE4214"/>
    <w:rsid w:val="00BF70F1"/>
    <w:rsid w:val="00C136DA"/>
    <w:rsid w:val="00C163D9"/>
    <w:rsid w:val="00C24C77"/>
    <w:rsid w:val="00C31A23"/>
    <w:rsid w:val="00C4127E"/>
    <w:rsid w:val="00C50E16"/>
    <w:rsid w:val="00C55942"/>
    <w:rsid w:val="00C60BBD"/>
    <w:rsid w:val="00C6567C"/>
    <w:rsid w:val="00C74AA4"/>
    <w:rsid w:val="00CB27DB"/>
    <w:rsid w:val="00CD0BCE"/>
    <w:rsid w:val="00CE0BFF"/>
    <w:rsid w:val="00CE16B1"/>
    <w:rsid w:val="00CE6C18"/>
    <w:rsid w:val="00D03DE4"/>
    <w:rsid w:val="00D0777A"/>
    <w:rsid w:val="00D10FDE"/>
    <w:rsid w:val="00D25C11"/>
    <w:rsid w:val="00D2621C"/>
    <w:rsid w:val="00D3067C"/>
    <w:rsid w:val="00D63896"/>
    <w:rsid w:val="00D76839"/>
    <w:rsid w:val="00DA6D01"/>
    <w:rsid w:val="00DA791B"/>
    <w:rsid w:val="00DB5B6E"/>
    <w:rsid w:val="00DC6701"/>
    <w:rsid w:val="00E22D01"/>
    <w:rsid w:val="00E30883"/>
    <w:rsid w:val="00E32C19"/>
    <w:rsid w:val="00E70A3F"/>
    <w:rsid w:val="00E7411E"/>
    <w:rsid w:val="00E95DD1"/>
    <w:rsid w:val="00EA38C9"/>
    <w:rsid w:val="00EA3BA9"/>
    <w:rsid w:val="00EB39F5"/>
    <w:rsid w:val="00EB77A5"/>
    <w:rsid w:val="00EC6073"/>
    <w:rsid w:val="00EC68EF"/>
    <w:rsid w:val="00EE3606"/>
    <w:rsid w:val="00EE464E"/>
    <w:rsid w:val="00EF1CFC"/>
    <w:rsid w:val="00EF3593"/>
    <w:rsid w:val="00F11D5F"/>
    <w:rsid w:val="00F13075"/>
    <w:rsid w:val="00F20438"/>
    <w:rsid w:val="00F20A0F"/>
    <w:rsid w:val="00F21A96"/>
    <w:rsid w:val="00F534A0"/>
    <w:rsid w:val="00F702C6"/>
    <w:rsid w:val="00F72BCF"/>
    <w:rsid w:val="00F74AAC"/>
    <w:rsid w:val="00F90301"/>
    <w:rsid w:val="00FA658B"/>
    <w:rsid w:val="00FB0A5B"/>
    <w:rsid w:val="00FB47CE"/>
    <w:rsid w:val="00FC1348"/>
    <w:rsid w:val="00FC29B0"/>
    <w:rsid w:val="00FC6FD9"/>
    <w:rsid w:val="00FE01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4" type="connector" idref="#_x0000_s1028"/>
        <o:r id="V:Rule5" type="connector" idref="#_x0000_s1027"/>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1CA"/>
    <w:pPr>
      <w:widowControl w:val="0"/>
      <w:spacing w:after="0" w:line="240" w:lineRule="auto"/>
    </w:pPr>
    <w:rPr>
      <w:rFonts w:ascii="Courier New" w:eastAsia="Times New Roman" w:hAnsi="Courier New" w:cs="Courier New"/>
      <w:color w:val="000000"/>
      <w:kern w:val="0"/>
      <w:lang w:val="vi-VN" w:eastAsia="vi-VN"/>
    </w:rPr>
  </w:style>
  <w:style w:type="paragraph" w:styleId="Heading1">
    <w:name w:val="heading 1"/>
    <w:basedOn w:val="Normal"/>
    <w:next w:val="Normal"/>
    <w:link w:val="Heading1Char"/>
    <w:uiPriority w:val="9"/>
    <w:qFormat/>
    <w:rsid w:val="00DA791B"/>
    <w:pPr>
      <w:keepNext/>
      <w:keepLines/>
      <w:widowControl/>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eastAsia="en-US"/>
    </w:rPr>
  </w:style>
  <w:style w:type="paragraph" w:styleId="Heading2">
    <w:name w:val="heading 2"/>
    <w:basedOn w:val="Normal"/>
    <w:next w:val="Normal"/>
    <w:link w:val="Heading2Char"/>
    <w:uiPriority w:val="9"/>
    <w:semiHidden/>
    <w:unhideWhenUsed/>
    <w:qFormat/>
    <w:rsid w:val="00DA791B"/>
    <w:pPr>
      <w:keepNext/>
      <w:keepLines/>
      <w:widowControl/>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eastAsia="en-US"/>
    </w:rPr>
  </w:style>
  <w:style w:type="paragraph" w:styleId="Heading3">
    <w:name w:val="heading 3"/>
    <w:basedOn w:val="Normal"/>
    <w:next w:val="Normal"/>
    <w:link w:val="Heading3Char"/>
    <w:uiPriority w:val="9"/>
    <w:semiHidden/>
    <w:unhideWhenUsed/>
    <w:qFormat/>
    <w:rsid w:val="00DA791B"/>
    <w:pPr>
      <w:keepNext/>
      <w:keepLines/>
      <w:widowControl/>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eastAsia="en-US"/>
    </w:rPr>
  </w:style>
  <w:style w:type="paragraph" w:styleId="Heading4">
    <w:name w:val="heading 4"/>
    <w:basedOn w:val="Normal"/>
    <w:next w:val="Normal"/>
    <w:link w:val="Heading4Char"/>
    <w:uiPriority w:val="9"/>
    <w:semiHidden/>
    <w:unhideWhenUsed/>
    <w:qFormat/>
    <w:rsid w:val="00DA791B"/>
    <w:pPr>
      <w:keepNext/>
      <w:keepLines/>
      <w:widowControl/>
      <w:spacing w:before="80" w:after="40" w:line="278" w:lineRule="auto"/>
      <w:outlineLvl w:val="3"/>
    </w:pPr>
    <w:rPr>
      <w:rFonts w:asciiTheme="minorHAnsi" w:eastAsiaTheme="majorEastAsia" w:hAnsiTheme="minorHAnsi" w:cstheme="majorBidi"/>
      <w:i/>
      <w:iCs/>
      <w:color w:val="2F5496" w:themeColor="accent1" w:themeShade="BF"/>
      <w:kern w:val="2"/>
      <w:lang w:val="en-US" w:eastAsia="en-US"/>
    </w:rPr>
  </w:style>
  <w:style w:type="paragraph" w:styleId="Heading5">
    <w:name w:val="heading 5"/>
    <w:basedOn w:val="Normal"/>
    <w:next w:val="Normal"/>
    <w:link w:val="Heading5Char"/>
    <w:uiPriority w:val="9"/>
    <w:semiHidden/>
    <w:unhideWhenUsed/>
    <w:qFormat/>
    <w:rsid w:val="00DA791B"/>
    <w:pPr>
      <w:keepNext/>
      <w:keepLines/>
      <w:widowControl/>
      <w:spacing w:before="80" w:after="40" w:line="278" w:lineRule="auto"/>
      <w:outlineLvl w:val="4"/>
    </w:pPr>
    <w:rPr>
      <w:rFonts w:asciiTheme="minorHAnsi" w:eastAsiaTheme="majorEastAsia" w:hAnsiTheme="minorHAnsi" w:cstheme="majorBidi"/>
      <w:color w:val="2F5496" w:themeColor="accent1" w:themeShade="BF"/>
      <w:kern w:val="2"/>
      <w:lang w:val="en-US" w:eastAsia="en-US"/>
    </w:rPr>
  </w:style>
  <w:style w:type="paragraph" w:styleId="Heading6">
    <w:name w:val="heading 6"/>
    <w:basedOn w:val="Normal"/>
    <w:next w:val="Normal"/>
    <w:link w:val="Heading6Char"/>
    <w:uiPriority w:val="9"/>
    <w:semiHidden/>
    <w:unhideWhenUsed/>
    <w:qFormat/>
    <w:rsid w:val="00DA791B"/>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val="en-US" w:eastAsia="en-US"/>
    </w:rPr>
  </w:style>
  <w:style w:type="paragraph" w:styleId="Heading7">
    <w:name w:val="heading 7"/>
    <w:basedOn w:val="Normal"/>
    <w:next w:val="Normal"/>
    <w:link w:val="Heading7Char"/>
    <w:uiPriority w:val="9"/>
    <w:semiHidden/>
    <w:unhideWhenUsed/>
    <w:qFormat/>
    <w:rsid w:val="00DA791B"/>
    <w:pPr>
      <w:keepNext/>
      <w:keepLines/>
      <w:widowControl/>
      <w:spacing w:before="40" w:line="278" w:lineRule="auto"/>
      <w:outlineLvl w:val="6"/>
    </w:pPr>
    <w:rPr>
      <w:rFonts w:asciiTheme="minorHAnsi" w:eastAsiaTheme="majorEastAsia" w:hAnsiTheme="minorHAnsi" w:cstheme="majorBidi"/>
      <w:color w:val="595959" w:themeColor="text1" w:themeTint="A6"/>
      <w:kern w:val="2"/>
      <w:lang w:val="en-US" w:eastAsia="en-US"/>
    </w:rPr>
  </w:style>
  <w:style w:type="paragraph" w:styleId="Heading8">
    <w:name w:val="heading 8"/>
    <w:basedOn w:val="Normal"/>
    <w:next w:val="Normal"/>
    <w:link w:val="Heading8Char"/>
    <w:uiPriority w:val="9"/>
    <w:semiHidden/>
    <w:unhideWhenUsed/>
    <w:qFormat/>
    <w:rsid w:val="00DA791B"/>
    <w:pPr>
      <w:keepNext/>
      <w:keepLines/>
      <w:widowControl/>
      <w:spacing w:line="278" w:lineRule="auto"/>
      <w:outlineLvl w:val="7"/>
    </w:pPr>
    <w:rPr>
      <w:rFonts w:asciiTheme="minorHAnsi" w:eastAsiaTheme="majorEastAsia" w:hAnsiTheme="minorHAnsi" w:cstheme="majorBidi"/>
      <w:i/>
      <w:iCs/>
      <w:color w:val="272727" w:themeColor="text1" w:themeTint="D8"/>
      <w:kern w:val="2"/>
      <w:lang w:val="en-US" w:eastAsia="en-US"/>
    </w:rPr>
  </w:style>
  <w:style w:type="paragraph" w:styleId="Heading9">
    <w:name w:val="heading 9"/>
    <w:basedOn w:val="Normal"/>
    <w:next w:val="Normal"/>
    <w:link w:val="Heading9Char"/>
    <w:uiPriority w:val="9"/>
    <w:semiHidden/>
    <w:unhideWhenUsed/>
    <w:qFormat/>
    <w:rsid w:val="00DA791B"/>
    <w:pPr>
      <w:keepNext/>
      <w:keepLines/>
      <w:widowControl/>
      <w:spacing w:line="278" w:lineRule="auto"/>
      <w:outlineLvl w:val="8"/>
    </w:pPr>
    <w:rPr>
      <w:rFonts w:asciiTheme="minorHAnsi" w:eastAsiaTheme="majorEastAsia" w:hAnsiTheme="minorHAnsi" w:cstheme="majorBidi"/>
      <w:color w:val="272727" w:themeColor="text1" w:themeTint="D8"/>
      <w:kern w:val="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9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79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79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79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79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79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79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79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791B"/>
    <w:rPr>
      <w:rFonts w:eastAsiaTheme="majorEastAsia" w:cstheme="majorBidi"/>
      <w:color w:val="272727" w:themeColor="text1" w:themeTint="D8"/>
    </w:rPr>
  </w:style>
  <w:style w:type="paragraph" w:styleId="Title">
    <w:name w:val="Title"/>
    <w:basedOn w:val="Normal"/>
    <w:next w:val="Normal"/>
    <w:link w:val="TitleChar"/>
    <w:uiPriority w:val="10"/>
    <w:qFormat/>
    <w:rsid w:val="00DA791B"/>
    <w:pPr>
      <w:widowControl/>
      <w:spacing w:after="80"/>
      <w:contextualSpacing/>
    </w:pPr>
    <w:rPr>
      <w:rFonts w:asciiTheme="majorHAnsi" w:eastAsiaTheme="majorEastAsia" w:hAnsiTheme="majorHAnsi" w:cstheme="majorBidi"/>
      <w:color w:val="auto"/>
      <w:spacing w:val="-10"/>
      <w:kern w:val="28"/>
      <w:sz w:val="56"/>
      <w:szCs w:val="56"/>
      <w:lang w:val="en-US" w:eastAsia="en-US"/>
    </w:rPr>
  </w:style>
  <w:style w:type="character" w:customStyle="1" w:styleId="TitleChar">
    <w:name w:val="Title Char"/>
    <w:basedOn w:val="DefaultParagraphFont"/>
    <w:link w:val="Title"/>
    <w:uiPriority w:val="10"/>
    <w:rsid w:val="00DA79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791B"/>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rPr>
  </w:style>
  <w:style w:type="character" w:customStyle="1" w:styleId="SubtitleChar">
    <w:name w:val="Subtitle Char"/>
    <w:basedOn w:val="DefaultParagraphFont"/>
    <w:link w:val="Subtitle"/>
    <w:uiPriority w:val="11"/>
    <w:rsid w:val="00DA79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791B"/>
    <w:pPr>
      <w:widowControl/>
      <w:spacing w:before="160" w:after="160" w:line="278" w:lineRule="auto"/>
      <w:jc w:val="center"/>
    </w:pPr>
    <w:rPr>
      <w:rFonts w:asciiTheme="minorHAnsi" w:eastAsiaTheme="minorHAnsi" w:hAnsiTheme="minorHAnsi" w:cstheme="minorBidi"/>
      <w:i/>
      <w:iCs/>
      <w:color w:val="404040" w:themeColor="text1" w:themeTint="BF"/>
      <w:kern w:val="2"/>
      <w:lang w:val="en-US" w:eastAsia="en-US"/>
    </w:rPr>
  </w:style>
  <w:style w:type="character" w:customStyle="1" w:styleId="QuoteChar">
    <w:name w:val="Quote Char"/>
    <w:basedOn w:val="DefaultParagraphFont"/>
    <w:link w:val="Quote"/>
    <w:uiPriority w:val="29"/>
    <w:rsid w:val="00DA791B"/>
    <w:rPr>
      <w:i/>
      <w:iCs/>
      <w:color w:val="404040" w:themeColor="text1" w:themeTint="BF"/>
    </w:rPr>
  </w:style>
  <w:style w:type="paragraph" w:styleId="ListParagraph">
    <w:name w:val="List Paragraph"/>
    <w:basedOn w:val="Normal"/>
    <w:uiPriority w:val="34"/>
    <w:qFormat/>
    <w:rsid w:val="00DA791B"/>
    <w:pPr>
      <w:widowControl/>
      <w:spacing w:after="160" w:line="278" w:lineRule="auto"/>
      <w:ind w:left="720"/>
      <w:contextualSpacing/>
    </w:pPr>
    <w:rPr>
      <w:rFonts w:asciiTheme="minorHAnsi" w:eastAsiaTheme="minorHAnsi" w:hAnsiTheme="minorHAnsi" w:cstheme="minorBidi"/>
      <w:color w:val="auto"/>
      <w:kern w:val="2"/>
      <w:lang w:val="en-US" w:eastAsia="en-US"/>
    </w:rPr>
  </w:style>
  <w:style w:type="character" w:styleId="IntenseEmphasis">
    <w:name w:val="Intense Emphasis"/>
    <w:basedOn w:val="DefaultParagraphFont"/>
    <w:uiPriority w:val="21"/>
    <w:qFormat/>
    <w:rsid w:val="00DA791B"/>
    <w:rPr>
      <w:i/>
      <w:iCs/>
      <w:color w:val="2F5496" w:themeColor="accent1" w:themeShade="BF"/>
    </w:rPr>
  </w:style>
  <w:style w:type="paragraph" w:styleId="IntenseQuote">
    <w:name w:val="Intense Quote"/>
    <w:basedOn w:val="Normal"/>
    <w:next w:val="Normal"/>
    <w:link w:val="IntenseQuoteChar"/>
    <w:uiPriority w:val="30"/>
    <w:qFormat/>
    <w:rsid w:val="00DA791B"/>
    <w:pPr>
      <w:widowControl/>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eastAsia="en-US"/>
    </w:rPr>
  </w:style>
  <w:style w:type="character" w:customStyle="1" w:styleId="IntenseQuoteChar">
    <w:name w:val="Intense Quote Char"/>
    <w:basedOn w:val="DefaultParagraphFont"/>
    <w:link w:val="IntenseQuote"/>
    <w:uiPriority w:val="30"/>
    <w:rsid w:val="00DA791B"/>
    <w:rPr>
      <w:i/>
      <w:iCs/>
      <w:color w:val="2F5496" w:themeColor="accent1" w:themeShade="BF"/>
    </w:rPr>
  </w:style>
  <w:style w:type="character" w:styleId="IntenseReference">
    <w:name w:val="Intense Reference"/>
    <w:basedOn w:val="DefaultParagraphFont"/>
    <w:uiPriority w:val="32"/>
    <w:qFormat/>
    <w:rsid w:val="00DA791B"/>
    <w:rPr>
      <w:b/>
      <w:bCs/>
      <w:smallCaps/>
      <w:color w:val="2F5496" w:themeColor="accent1" w:themeShade="BF"/>
      <w:spacing w:val="5"/>
    </w:rPr>
  </w:style>
  <w:style w:type="paragraph" w:styleId="FootnoteText">
    <w:name w:val="footnote text"/>
    <w:basedOn w:val="Normal"/>
    <w:link w:val="FootnoteTextChar"/>
    <w:rsid w:val="00CE16B1"/>
    <w:rPr>
      <w:rFonts w:eastAsia="Courier New"/>
      <w:sz w:val="20"/>
      <w:szCs w:val="20"/>
    </w:rPr>
  </w:style>
  <w:style w:type="character" w:customStyle="1" w:styleId="FootnoteTextChar">
    <w:name w:val="Footnote Text Char"/>
    <w:basedOn w:val="DefaultParagraphFont"/>
    <w:link w:val="FootnoteText"/>
    <w:rsid w:val="00CE16B1"/>
    <w:rPr>
      <w:rFonts w:ascii="Courier New" w:eastAsia="Courier New" w:hAnsi="Courier New" w:cs="Courier New"/>
      <w:color w:val="000000"/>
      <w:kern w:val="0"/>
      <w:sz w:val="20"/>
      <w:szCs w:val="20"/>
      <w:lang w:val="vi-VN" w:eastAsia="vi-VN"/>
    </w:rPr>
  </w:style>
  <w:style w:type="character" w:styleId="FootnoteReference">
    <w:name w:val="footnote reference"/>
    <w:basedOn w:val="DefaultParagraphFont"/>
    <w:rsid w:val="00CE16B1"/>
    <w:rPr>
      <w:vertAlign w:val="superscript"/>
    </w:rPr>
  </w:style>
  <w:style w:type="paragraph" w:styleId="Header">
    <w:name w:val="header"/>
    <w:basedOn w:val="Normal"/>
    <w:link w:val="HeaderChar"/>
    <w:uiPriority w:val="99"/>
    <w:unhideWhenUsed/>
    <w:rsid w:val="00FB47CE"/>
    <w:pPr>
      <w:tabs>
        <w:tab w:val="center" w:pos="4680"/>
        <w:tab w:val="right" w:pos="9360"/>
      </w:tabs>
    </w:pPr>
  </w:style>
  <w:style w:type="character" w:customStyle="1" w:styleId="HeaderChar">
    <w:name w:val="Header Char"/>
    <w:basedOn w:val="DefaultParagraphFont"/>
    <w:link w:val="Header"/>
    <w:uiPriority w:val="99"/>
    <w:rsid w:val="00FB47CE"/>
    <w:rPr>
      <w:rFonts w:ascii="Courier New" w:eastAsia="Times New Roman" w:hAnsi="Courier New" w:cs="Courier New"/>
      <w:color w:val="000000"/>
      <w:kern w:val="0"/>
      <w:lang w:val="vi-VN" w:eastAsia="vi-VN"/>
    </w:rPr>
  </w:style>
  <w:style w:type="paragraph" w:styleId="Footer">
    <w:name w:val="footer"/>
    <w:basedOn w:val="Normal"/>
    <w:link w:val="FooterChar"/>
    <w:uiPriority w:val="99"/>
    <w:unhideWhenUsed/>
    <w:rsid w:val="00FB47CE"/>
    <w:pPr>
      <w:tabs>
        <w:tab w:val="center" w:pos="4680"/>
        <w:tab w:val="right" w:pos="9360"/>
      </w:tabs>
    </w:pPr>
  </w:style>
  <w:style w:type="character" w:customStyle="1" w:styleId="FooterChar">
    <w:name w:val="Footer Char"/>
    <w:basedOn w:val="DefaultParagraphFont"/>
    <w:link w:val="Footer"/>
    <w:uiPriority w:val="99"/>
    <w:rsid w:val="00FB47CE"/>
    <w:rPr>
      <w:rFonts w:ascii="Courier New" w:eastAsia="Times New Roman" w:hAnsi="Courier New" w:cs="Courier New"/>
      <w:color w:val="000000"/>
      <w:kern w:val="0"/>
      <w:lang w:val="vi-VN" w:eastAsia="vi-VN"/>
    </w:rPr>
  </w:style>
  <w:style w:type="paragraph" w:styleId="NormalWeb">
    <w:name w:val="Normal (Web)"/>
    <w:basedOn w:val="Normal"/>
    <w:uiPriority w:val="99"/>
    <w:unhideWhenUsed/>
    <w:rsid w:val="00852C8B"/>
    <w:pPr>
      <w:widowControl/>
      <w:spacing w:before="100" w:beforeAutospacing="1" w:after="100" w:afterAutospacing="1"/>
    </w:pPr>
    <w:rPr>
      <w:rFonts w:ascii="Times New Roman" w:hAnsi="Times New Roman" w:cs="Times New Roman"/>
      <w:color w:val="auto"/>
      <w:lang w:val="en-US" w:eastAsia="en-US"/>
    </w:rPr>
  </w:style>
  <w:style w:type="character" w:styleId="Strong">
    <w:name w:val="Strong"/>
    <w:basedOn w:val="DefaultParagraphFont"/>
    <w:uiPriority w:val="22"/>
    <w:qFormat/>
    <w:rsid w:val="00852C8B"/>
    <w:rPr>
      <w:b/>
      <w:bCs/>
    </w:rPr>
  </w:style>
  <w:style w:type="character" w:styleId="Hyperlink">
    <w:name w:val="Hyperlink"/>
    <w:basedOn w:val="DefaultParagraphFont"/>
    <w:uiPriority w:val="99"/>
    <w:semiHidden/>
    <w:unhideWhenUsed/>
    <w:rsid w:val="00E32C19"/>
    <w:rPr>
      <w:color w:val="0000FF"/>
      <w:u w:val="single"/>
    </w:rPr>
  </w:style>
  <w:style w:type="table" w:styleId="TableGrid">
    <w:name w:val="Table Grid"/>
    <w:basedOn w:val="TableNormal"/>
    <w:uiPriority w:val="39"/>
    <w:rsid w:val="006223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3830262">
      <w:bodyDiv w:val="1"/>
      <w:marLeft w:val="0"/>
      <w:marRight w:val="0"/>
      <w:marTop w:val="0"/>
      <w:marBottom w:val="0"/>
      <w:divBdr>
        <w:top w:val="none" w:sz="0" w:space="0" w:color="auto"/>
        <w:left w:val="none" w:sz="0" w:space="0" w:color="auto"/>
        <w:bottom w:val="none" w:sz="0" w:space="0" w:color="auto"/>
        <w:right w:val="none" w:sz="0" w:space="0" w:color="auto"/>
      </w:divBdr>
    </w:div>
    <w:div w:id="256060219">
      <w:bodyDiv w:val="1"/>
      <w:marLeft w:val="0"/>
      <w:marRight w:val="0"/>
      <w:marTop w:val="0"/>
      <w:marBottom w:val="0"/>
      <w:divBdr>
        <w:top w:val="none" w:sz="0" w:space="0" w:color="auto"/>
        <w:left w:val="none" w:sz="0" w:space="0" w:color="auto"/>
        <w:bottom w:val="none" w:sz="0" w:space="0" w:color="auto"/>
        <w:right w:val="none" w:sz="0" w:space="0" w:color="auto"/>
      </w:divBdr>
    </w:div>
    <w:div w:id="573197000">
      <w:bodyDiv w:val="1"/>
      <w:marLeft w:val="0"/>
      <w:marRight w:val="0"/>
      <w:marTop w:val="0"/>
      <w:marBottom w:val="0"/>
      <w:divBdr>
        <w:top w:val="none" w:sz="0" w:space="0" w:color="auto"/>
        <w:left w:val="none" w:sz="0" w:space="0" w:color="auto"/>
        <w:bottom w:val="none" w:sz="0" w:space="0" w:color="auto"/>
        <w:right w:val="none" w:sz="0" w:space="0" w:color="auto"/>
      </w:divBdr>
    </w:div>
    <w:div w:id="779759043">
      <w:bodyDiv w:val="1"/>
      <w:marLeft w:val="0"/>
      <w:marRight w:val="0"/>
      <w:marTop w:val="0"/>
      <w:marBottom w:val="0"/>
      <w:divBdr>
        <w:top w:val="none" w:sz="0" w:space="0" w:color="auto"/>
        <w:left w:val="none" w:sz="0" w:space="0" w:color="auto"/>
        <w:bottom w:val="none" w:sz="0" w:space="0" w:color="auto"/>
        <w:right w:val="none" w:sz="0" w:space="0" w:color="auto"/>
      </w:divBdr>
    </w:div>
    <w:div w:id="997459086">
      <w:bodyDiv w:val="1"/>
      <w:marLeft w:val="0"/>
      <w:marRight w:val="0"/>
      <w:marTop w:val="0"/>
      <w:marBottom w:val="0"/>
      <w:divBdr>
        <w:top w:val="none" w:sz="0" w:space="0" w:color="auto"/>
        <w:left w:val="none" w:sz="0" w:space="0" w:color="auto"/>
        <w:bottom w:val="none" w:sz="0" w:space="0" w:color="auto"/>
        <w:right w:val="none" w:sz="0" w:space="0" w:color="auto"/>
      </w:divBdr>
    </w:div>
    <w:div w:id="1133669600">
      <w:bodyDiv w:val="1"/>
      <w:marLeft w:val="0"/>
      <w:marRight w:val="0"/>
      <w:marTop w:val="0"/>
      <w:marBottom w:val="0"/>
      <w:divBdr>
        <w:top w:val="none" w:sz="0" w:space="0" w:color="auto"/>
        <w:left w:val="none" w:sz="0" w:space="0" w:color="auto"/>
        <w:bottom w:val="none" w:sz="0" w:space="0" w:color="auto"/>
        <w:right w:val="none" w:sz="0" w:space="0" w:color="auto"/>
      </w:divBdr>
    </w:div>
    <w:div w:id="1219243272">
      <w:bodyDiv w:val="1"/>
      <w:marLeft w:val="0"/>
      <w:marRight w:val="0"/>
      <w:marTop w:val="0"/>
      <w:marBottom w:val="0"/>
      <w:divBdr>
        <w:top w:val="none" w:sz="0" w:space="0" w:color="auto"/>
        <w:left w:val="none" w:sz="0" w:space="0" w:color="auto"/>
        <w:bottom w:val="none" w:sz="0" w:space="0" w:color="auto"/>
        <w:right w:val="none" w:sz="0" w:space="0" w:color="auto"/>
      </w:divBdr>
    </w:div>
    <w:div w:id="1687093940">
      <w:bodyDiv w:val="1"/>
      <w:marLeft w:val="0"/>
      <w:marRight w:val="0"/>
      <w:marTop w:val="0"/>
      <w:marBottom w:val="0"/>
      <w:divBdr>
        <w:top w:val="none" w:sz="0" w:space="0" w:color="auto"/>
        <w:left w:val="none" w:sz="0" w:space="0" w:color="auto"/>
        <w:bottom w:val="none" w:sz="0" w:space="0" w:color="auto"/>
        <w:right w:val="none" w:sz="0" w:space="0" w:color="auto"/>
      </w:divBdr>
    </w:div>
    <w:div w:id="1729451201">
      <w:bodyDiv w:val="1"/>
      <w:marLeft w:val="0"/>
      <w:marRight w:val="0"/>
      <w:marTop w:val="0"/>
      <w:marBottom w:val="0"/>
      <w:divBdr>
        <w:top w:val="none" w:sz="0" w:space="0" w:color="auto"/>
        <w:left w:val="none" w:sz="0" w:space="0" w:color="auto"/>
        <w:bottom w:val="none" w:sz="0" w:space="0" w:color="auto"/>
        <w:right w:val="none" w:sz="0" w:space="0" w:color="auto"/>
      </w:divBdr>
    </w:div>
    <w:div w:id="186058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152-2017-nd-cp-quy-dinh-tieu-chuan-dinh-muc-su-dung-tru-so-lam-viec-354148.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tai-chinh-nha-nuoc/nghi-dinh-152-2017-nd-cp-quy-dinh-tieu-chuan-dinh-muc-su-dung-tru-so-lam-viec-35414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1D7D7-280B-4A08-80B1-DF1ADAE0B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6</Pages>
  <Words>1713</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tathuhien</dc:creator>
  <cp:lastModifiedBy>tranthanhhuyen</cp:lastModifiedBy>
  <cp:revision>24</cp:revision>
  <cp:lastPrinted>2025-08-07T03:32:00Z</cp:lastPrinted>
  <dcterms:created xsi:type="dcterms:W3CDTF">2025-06-17T04:03:00Z</dcterms:created>
  <dcterms:modified xsi:type="dcterms:W3CDTF">2025-08-07T03:32:00Z</dcterms:modified>
</cp:coreProperties>
</file>